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82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796</w:t>
      </w:r>
    </w:p>
    <w:p w:rsidR="00F75C72" w:rsidRDefault="00822B42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«30» декабря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года</w:t>
      </w:r>
    </w:p>
    <w:p w:rsidR="00F75C72" w:rsidRDefault="00C250CC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дакции: от 19.04.2016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30.12. 2016</w:t>
      </w:r>
      <w:r w:rsidR="00F96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470</w:t>
      </w:r>
      <w:r w:rsid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27.03. 2017</w:t>
      </w:r>
      <w:r w:rsidR="008B5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138</w:t>
      </w:r>
      <w:r w:rsidR="00E3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11.12.2017 № 539</w:t>
      </w:r>
      <w:r w:rsidR="0083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29.12.2018 №769</w:t>
      </w:r>
      <w:r w:rsidR="0054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29.03.2019 №</w:t>
      </w:r>
      <w:r w:rsidR="00EF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55EE6" w:rsidRPr="00655EE6" w:rsidRDefault="00655EE6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 на 2015 -2020 годы»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«Развитие культуры Михайловского района Алтайского края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 2015 -2020 годы»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Михайловского района Алтайского края на 2015-2020 годы»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качественной работы учреждений культуры района;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культурно-исторического наследия района, поддержка и развитие библиотечного дела в районе;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детских и молодёжных объединений, творческих коллективов и отдельных исполнителей;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качественного уровня кадров учреждений культуры, закрепление специалистов в учреждениях культуры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D838FC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наследия, регионального (муниципального) значения на территории района; посещаемость библиотек; увеличение численности участников культурно-досуговых мероприятий; доля детей, обучающихся в детских школах искусств, в общей численности учащихся детей; динамика примерных (индикативных) значений соотношение средней заработной платы работников культуры к средней заработной плате в Алтайском крае.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20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-2020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общий объём финансирования муниципальной программы «Развитие культуры Михайловского района» на 2015-2020 годы 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составляет </w:t>
            </w:r>
            <w:r w:rsidR="00A27864">
              <w:rPr>
                <w:rFonts w:ascii="Times New Roman" w:eastAsia="Times New Roman" w:hAnsi="Times New Roman" w:cs="Times New Roman"/>
                <w:sz w:val="25"/>
                <w:szCs w:val="25"/>
              </w:rPr>
              <w:t>128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>07,0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из них: </w:t>
            </w:r>
            <w:proofErr w:type="gramEnd"/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>з муниципального бюджета – 609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5,6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D14534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8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1,4 тыс. руб.</w:t>
            </w:r>
          </w:p>
          <w:p w:rsidR="00655EE6" w:rsidRPr="00655EE6" w:rsidRDefault="00D14534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9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82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,4тыс. руб.</w:t>
            </w:r>
          </w:p>
          <w:p w:rsidR="00655EE6" w:rsidRPr="00655EE6" w:rsidRDefault="004873EE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86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1,8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2018 год – </w:t>
            </w:r>
            <w:r w:rsidR="00D1453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>161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3414D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1109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997D7F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1100,0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края»- 1446</w:t>
            </w:r>
            <w:r w:rsidR="00825881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105,0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110,0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120,0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3414D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– 781,4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3414D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18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150,0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из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 – </w:t>
            </w:r>
            <w:r w:rsidR="00245635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>25,4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2015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2016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C90E76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2017 год –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2018 год – </w:t>
            </w:r>
            <w:r w:rsidR="003414D6">
              <w:rPr>
                <w:rFonts w:ascii="Times New Roman" w:eastAsia="Times New Roman" w:hAnsi="Times New Roman" w:cs="Times New Roman"/>
                <w:sz w:val="25"/>
                <w:szCs w:val="25"/>
              </w:rPr>
              <w:t>865,4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2019 год – </w:t>
            </w:r>
            <w:r w:rsidR="00245635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2020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ных источников финансирования 4039,6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год- 4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00,0 тыс. руб. 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-500,0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-6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33,4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-7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34,4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-8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35,4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FD70EB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-9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36,4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(муниципального) зн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ачения на территории района до 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0%;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библиотек на 1 жителя к 2020 году составит 3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,5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ежегодное увеличение количества посещений 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численности участников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культурно-досугов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мероприятий  не менее чем на 0,1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доли детей, обучающихся в детских школах искусств, в общей численнос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 учащихся детей на уровне 2014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средней заработной платы работников учреждений культуры Михайловского района до уровня средней заработной платы в Алтайском крае.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Общая характеристика сферы реализации 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2007 - 2013 годах в рамках реализации мероприятий целевых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аппаратурой</w:t>
      </w:r>
      <w:proofErr w:type="spell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Реализация программы позволит расширить доступ населения к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турным ценностям и информации, обеспечит поддержку всех форм творче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ской самореализации личности, создаст условия для дальнейшей модерниза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305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результатов.</w:t>
      </w:r>
    </w:p>
    <w:p w:rsidR="00655EE6" w:rsidRPr="00655EE6" w:rsidRDefault="006E3394" w:rsidP="00655EE6">
      <w:pPr>
        <w:framePr w:w="9413" w:h="14681" w:hRule="exact" w:wrap="none" w:vAnchor="page" w:hAnchor="page" w:x="1424" w:y="809"/>
        <w:widowControl w:val="0"/>
        <w:numPr>
          <w:ilvl w:val="0"/>
          <w:numId w:val="1"/>
        </w:numPr>
        <w:tabs>
          <w:tab w:val="left" w:pos="658"/>
        </w:tabs>
        <w:spacing w:after="352" w:line="240" w:lineRule="exact"/>
        <w:ind w:left="380" w:right="460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Приоритеты государственной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 политики в сфере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655EE6" w:rsidRPr="00655EE6" w:rsidRDefault="006E3394" w:rsidP="00655EE6">
      <w:pPr>
        <w:framePr w:w="9413" w:h="14681" w:hRule="exact" w:wrap="none" w:vAnchor="page" w:hAnchor="page" w:x="1424" w:y="809"/>
        <w:widowControl w:val="0"/>
        <w:numPr>
          <w:ilvl w:val="1"/>
          <w:numId w:val="1"/>
        </w:numPr>
        <w:tabs>
          <w:tab w:val="left" w:pos="865"/>
        </w:tabs>
        <w:spacing w:after="250" w:line="250" w:lineRule="exact"/>
        <w:ind w:left="380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Приоритеты государственной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 политики в сфере реализации программы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Приоритеты государственной политики в сфере культуры и искусства на период до 2020 года сформированы с учетом целей и задач, обозначенных в следующих стратегических документах: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Федеральный закон от 25.06.2002 № 7Э-ФЗ «Об объектах культурного наследия (памятниках истории и культуры) народов Российской Федерации»;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Федеральный закон от 29.12.2012 № 27Э-ФЗ «Об образовании в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 Президента Российской Федерации от 07.05.2012 № 597 «О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Указ Президента Российской Федерации от 01.06.2012 №761 </w:t>
      </w:r>
      <w:r w:rsidRPr="00655EE6">
        <w:rPr>
          <w:rFonts w:ascii="Times New Roman" w:eastAsia="Times New Roman" w:hAnsi="Times New Roman" w:cs="Times New Roman"/>
          <w:i/>
          <w:iCs/>
          <w:color w:val="000000"/>
          <w:spacing w:val="11"/>
          <w:sz w:val="25"/>
          <w:szCs w:val="25"/>
          <w:shd w:val="clear" w:color="auto" w:fill="FFFFFF"/>
          <w:lang w:eastAsia="ru-RU"/>
        </w:rPr>
        <w:t xml:space="preserve">«О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циональной стратегии действий в интересах детей на 2012 - 2017 годы»;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Постановление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Правительства Российской Федерации от 03.03.2012 № 186 «О федеральной целевой программе «Культура России (2012 -2018 годы)»;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развития образования в сфере культуры и искусства в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 на 2008 - 2015 годы, утвержденная распоряжением Пра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вительства Российской Федерации от 25.08.2008 № 1244-р;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Концепция долгосрочного социально-экономического развития Рос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12.05.2005 № 32-3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ru-RU"/>
        </w:rPr>
        <w:t>C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«Об объектах культурно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го наследия (памятниках истории и культуры) в Алтайском крае»;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10.04.2007 № 22-ЗС «О библиотечном деле в Алтайском крае»;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акон Алтайского края от 21.11.2012 № 87-ЗС «Об утверждении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 социально-экономического развития Алтайского края на период до 2017 года»;</w:t>
      </w:r>
    </w:p>
    <w:p w:rsidR="00655EE6" w:rsidRPr="00655EE6" w:rsidRDefault="005A2C5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Постановление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Администрации Алтайского края от 28.06.2007 № 292 «Об утверждении стандартов качества предоставления государственных ус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луг в сфере образования, культуры, здравоохранения и социальной политики, оказываемых населению Алтайского края за счет средств краевого бюджета»;</w:t>
      </w: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П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остановление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ом крае на период до 2020 года»;</w:t>
      </w:r>
    </w:p>
    <w:p w:rsidR="00533EA2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AF50AC" w:rsidRPr="00AF50AC" w:rsidRDefault="005A2C5B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рограмма социально-экономического развития Михайловског</w:t>
      </w:r>
      <w:r w:rsid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 период до 2017 года,</w:t>
      </w:r>
      <w:r w:rsidR="00AF50AC" w:rsidRPr="00AF50A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утверждённая решением Михайловского районного собрания депутатов Алтайского края №28 от 25.12.2012года.</w:t>
      </w:r>
    </w:p>
    <w:p w:rsidR="00655EE6" w:rsidRPr="00655EE6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655EE6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продвижение культуры Михайловского района на территории Алтайского края в форме гастролей, участия в конкурсах, выставках и фестивалях; 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социальной политики Михайловского района.</w:t>
      </w: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numPr>
          <w:ilvl w:val="1"/>
          <w:numId w:val="1"/>
        </w:numPr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Цели и задачи 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 культуры в Михайловском районе.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программных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роприятий, работы  муниципальных учреждений культуры.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numPr>
          <w:ilvl w:val="1"/>
          <w:numId w:val="1"/>
        </w:numPr>
        <w:tabs>
          <w:tab w:val="left" w:pos="539"/>
        </w:tabs>
        <w:spacing w:after="305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Конечные результаты реализации 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результате реализации программы к 2020 году предполагается: увеличение доли объектов культурного наследия, находящихся в удов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летворительном состоянии, в общем количестве объектов культурного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следия регионального и местного (муниципального) з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начения на территории края до 60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%;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на 1 жителя к 202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 году составит 3</w:t>
      </w:r>
      <w:r w:rsidR="005A2C5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,5 посещений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ежегодное увеличение количества посещений культурно-досугов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ых</w:t>
      </w:r>
      <w:r w:rsidR="00FD764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мероприятий не менее чем на 0,1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ежегодное увеличение численности участников культурно-досуговых мероприятий не менее чем на 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0,</w:t>
      </w:r>
      <w:r w:rsidR="00FD764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%;</w:t>
      </w:r>
    </w:p>
    <w:p w:rsid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доли детей, обучающихся в детских школах искусств, в общей численнос</w:t>
      </w:r>
      <w:r w:rsidR="0039430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ти учащихся детей на уровне 2014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года;</w:t>
      </w:r>
    </w:p>
    <w:p w:rsidR="004615E0" w:rsidRPr="00655EE6" w:rsidRDefault="004615E0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средней численности участников клубных формирований на уровне 2014 года;</w:t>
      </w:r>
    </w:p>
    <w:p w:rsidR="005A2C5B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средней заработной платы работников учреждений культуры Михайловского района до уровня средней заработн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ой платы в Алтайском крае </w:t>
      </w:r>
      <w:proofErr w:type="gramStart"/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</w:t>
      </w:r>
      <w:proofErr w:type="gramEnd"/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</w:p>
    <w:p w:rsidR="005A2C5B" w:rsidRDefault="00B62F9E" w:rsidP="005A2C5B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2020</w:t>
      </w:r>
      <w:r w:rsidR="00533E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году</w:t>
      </w:r>
      <w:r w:rsidR="005A2C5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; </w:t>
      </w:r>
    </w:p>
    <w:p w:rsidR="00DD1783" w:rsidRDefault="00AF50AC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2014 год – 66,7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2015 год – 68</w:t>
      </w:r>
      <w:r w:rsidR="00B62F9E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BE2A7F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2016 год – 65,6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533EA2" w:rsidRDefault="00C90E7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2017 год – 9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0%</w:t>
      </w:r>
    </w:p>
    <w:p w:rsidR="00533EA2" w:rsidRDefault="00A8542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2018 год – 76,4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%</w:t>
      </w:r>
    </w:p>
    <w:p w:rsidR="00DD1783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2019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2020 год – 100%</w:t>
      </w: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417BBA" w:rsidRDefault="00655EE6" w:rsidP="005A2C5B">
      <w:pPr>
        <w:pStyle w:val="a3"/>
        <w:framePr w:w="9403" w:h="14606" w:hRule="exact" w:wrap="none" w:vAnchor="page" w:hAnchor="page" w:x="1429" w:y="833"/>
        <w:widowControl w:val="0"/>
        <w:numPr>
          <w:ilvl w:val="1"/>
          <w:numId w:val="1"/>
        </w:num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417BB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Сроки и этапы реализации программы</w:t>
      </w:r>
    </w:p>
    <w:p w:rsidR="00655EE6" w:rsidRPr="00417BBA" w:rsidRDefault="00655EE6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Программа реализуется в период с 2015 по 2020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numPr>
          <w:ilvl w:val="0"/>
          <w:numId w:val="1"/>
        </w:numPr>
        <w:tabs>
          <w:tab w:val="left" w:pos="1023"/>
        </w:tabs>
        <w:spacing w:after="4" w:line="250" w:lineRule="exact"/>
        <w:ind w:left="40" w:firstLine="700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Общий объем финансовых ресурсов, необходимых для реализации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общий объём финансирования муниципальной программы «Развитие культуры Михайловского района» на 2015-2020 годы (далее </w:t>
      </w:r>
      <w:r w:rsidR="00A27864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128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>07,0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  <w:proofErr w:type="gramEnd"/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609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5,6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 – 8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>8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1,4 тыс. руб.</w:t>
      </w:r>
    </w:p>
    <w:p w:rsidR="00655EE6" w:rsidRPr="00655EE6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2016 год – 9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>82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,4тыс. руб.</w:t>
      </w:r>
    </w:p>
    <w:p w:rsidR="00655EE6" w:rsidRPr="00655EE6" w:rsidRDefault="00453488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2017 год – 861,8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2018 год – 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1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>161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E12123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2019 год – 1109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– 1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100,0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B19A1">
        <w:rPr>
          <w:rFonts w:ascii="Times New Roman" w:eastAsia="Times New Roman" w:hAnsi="Times New Roman" w:cs="Times New Roman"/>
          <w:sz w:val="25"/>
          <w:szCs w:val="25"/>
        </w:rPr>
        <w:t xml:space="preserve">Культура 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>Алтайского края»- 1446,4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 – 105,0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2016 год – 110,0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2017 год – 120,0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2018 год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 xml:space="preserve"> – 781,4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E12123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2019 год – 18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744EE4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– 150,0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914E58">
        <w:rPr>
          <w:rFonts w:ascii="Times New Roman" w:eastAsia="Times New Roman" w:hAnsi="Times New Roman" w:cs="Times New Roman"/>
          <w:sz w:val="25"/>
          <w:szCs w:val="25"/>
        </w:rPr>
        <w:t>12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>25,4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2015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2016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407067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2017 год – </w:t>
      </w:r>
      <w:r w:rsidR="00453488"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2018 год – </w:t>
      </w:r>
      <w:r w:rsidR="00E12123">
        <w:rPr>
          <w:rFonts w:ascii="Times New Roman" w:eastAsia="Times New Roman" w:hAnsi="Times New Roman" w:cs="Times New Roman"/>
          <w:sz w:val="25"/>
          <w:szCs w:val="25"/>
        </w:rPr>
        <w:t>865,4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E106AF" w:rsidRPr="00E106AF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2019 год – </w:t>
      </w:r>
      <w:r w:rsidR="00914E58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E106AF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2020 год –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ных источников финансирования 4039,6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2015 год- 4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00,0 тыс. руб.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2016 год -500,0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2017 год -6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33,4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2018 год -7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34,4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2019 год -8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35,4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2E6A92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2020 год -9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36,4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numPr>
          <w:ilvl w:val="0"/>
          <w:numId w:val="1"/>
        </w:numPr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Анализ рисков реализации программы и описание мер управления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рисками реализации 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программного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срочную перспективу, данные риски можно оценить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ки» в части доведения средней заработной платы работников учреждений культуры в 2013 - 2017 годах до целевых показателей, определенных данным Указом, возможно в условиях </w:t>
      </w:r>
      <w:proofErr w:type="spell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софинансирования</w:t>
      </w:r>
      <w:proofErr w:type="spell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из краевого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numPr>
          <w:ilvl w:val="0"/>
          <w:numId w:val="1"/>
        </w:numPr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Механизм реализации 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экономического развития и имущественных отношений Администрации Михайловского района в установленном порядке.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numPr>
          <w:ilvl w:val="0"/>
          <w:numId w:val="1"/>
        </w:numPr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Методика оценки эффективности программы</w:t>
      </w:r>
    </w:p>
    <w:p w:rsidR="00BE2A7F" w:rsidRDefault="00655EE6" w:rsidP="00BE2A7F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</w:p>
    <w:p w:rsidR="00655EE6" w:rsidRPr="00FF0604" w:rsidRDefault="00BE2A7F" w:rsidP="00BE2A7F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17.02.2013г. №87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 программы»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их </w:t>
      </w:r>
      <w:proofErr w:type="gramStart"/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813"/>
        <w:gridCol w:w="1165"/>
        <w:gridCol w:w="1310"/>
        <w:gridCol w:w="1360"/>
        <w:gridCol w:w="616"/>
        <w:gridCol w:w="900"/>
        <w:gridCol w:w="616"/>
        <w:gridCol w:w="616"/>
        <w:gridCol w:w="1359"/>
      </w:tblGrid>
      <w:tr w:rsidR="009A18AD" w:rsidRPr="004862B9" w:rsidTr="00E95BF3">
        <w:tc>
          <w:tcPr>
            <w:tcW w:w="559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813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индикатора (показателя)</w:t>
            </w:r>
          </w:p>
        </w:tc>
        <w:tc>
          <w:tcPr>
            <w:tcW w:w="1165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6777" w:type="dxa"/>
            <w:gridSpan w:val="7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 годам</w:t>
            </w:r>
          </w:p>
        </w:tc>
      </w:tr>
      <w:tr w:rsidR="009A18AD" w:rsidRPr="004862B9" w:rsidTr="00E95BF3">
        <w:tc>
          <w:tcPr>
            <w:tcW w:w="559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13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65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10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год 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(факт)</w:t>
            </w:r>
          </w:p>
        </w:tc>
        <w:tc>
          <w:tcPr>
            <w:tcW w:w="1360" w:type="dxa"/>
            <w:vMerge w:val="restart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(оценка)</w:t>
            </w:r>
          </w:p>
        </w:tc>
        <w:tc>
          <w:tcPr>
            <w:tcW w:w="4107" w:type="dxa"/>
            <w:gridSpan w:val="5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годы реализации муниципальной программы</w:t>
            </w:r>
          </w:p>
        </w:tc>
      </w:tr>
      <w:tr w:rsidR="009A18AD" w:rsidRPr="004862B9" w:rsidTr="00E95BF3">
        <w:tc>
          <w:tcPr>
            <w:tcW w:w="559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13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65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10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0" w:type="dxa"/>
            <w:vMerge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2017год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2020</w:t>
            </w: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муниципального значения на территории района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360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16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900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616" w:type="dxa"/>
          </w:tcPr>
          <w:p w:rsidR="009A18AD" w:rsidRPr="004862B9" w:rsidRDefault="004E5D7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16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359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13" w:type="dxa"/>
          </w:tcPr>
          <w:p w:rsidR="00417BBA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посещений библиотек</w:t>
            </w:r>
          </w:p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(на 1 жителя в год)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посещений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,1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,2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,5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Увеличение количества посещений культурно-досуговых мероприятий </w:t>
            </w:r>
            <w:r w:rsidR="00417BBA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сравнению с предыдущем годом</w:t>
            </w:r>
            <w:r w:rsidR="00B57761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,1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,2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4E5D79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135843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,5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численности участников культурно- досуговых мероприятий</w:t>
            </w:r>
            <w:r w:rsidR="00417BBA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сравнению с предыдущем годом</w:t>
            </w:r>
            <w:r w:rsidR="00B57761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6,7</w:t>
            </w:r>
          </w:p>
        </w:tc>
        <w:tc>
          <w:tcPr>
            <w:tcW w:w="1360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616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900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616" w:type="dxa"/>
          </w:tcPr>
          <w:p w:rsidR="009A18AD" w:rsidRPr="004862B9" w:rsidRDefault="00FD764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616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</w:t>
            </w:r>
          </w:p>
        </w:tc>
        <w:tc>
          <w:tcPr>
            <w:tcW w:w="1359" w:type="dxa"/>
          </w:tcPr>
          <w:p w:rsidR="009A18AD" w:rsidRPr="004862B9" w:rsidRDefault="000E3031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</w:t>
            </w:r>
          </w:p>
        </w:tc>
      </w:tr>
      <w:tr w:rsidR="00E20BDB" w:rsidRPr="004862B9" w:rsidTr="00E95BF3">
        <w:tc>
          <w:tcPr>
            <w:tcW w:w="559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13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165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0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16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0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16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616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100,1</w:t>
            </w:r>
          </w:p>
        </w:tc>
        <w:tc>
          <w:tcPr>
            <w:tcW w:w="1359" w:type="dxa"/>
          </w:tcPr>
          <w:p w:rsidR="00E20BDB" w:rsidRPr="004862B9" w:rsidRDefault="00E20BD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100,2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045650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1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обучающихся в детских школах искусств, в общей численности учащихся детей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36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900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12,3</w:t>
            </w:r>
          </w:p>
        </w:tc>
      </w:tr>
      <w:tr w:rsidR="009A18AD" w:rsidRPr="004862B9" w:rsidTr="00E95BF3">
        <w:tc>
          <w:tcPr>
            <w:tcW w:w="559" w:type="dxa"/>
          </w:tcPr>
          <w:p w:rsidR="009A18AD" w:rsidRPr="004862B9" w:rsidRDefault="00045650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13" w:type="dxa"/>
          </w:tcPr>
          <w:p w:rsidR="009A18AD" w:rsidRPr="000D00A3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0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6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31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66,7</w:t>
            </w:r>
          </w:p>
        </w:tc>
        <w:tc>
          <w:tcPr>
            <w:tcW w:w="136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68,6</w:t>
            </w:r>
          </w:p>
        </w:tc>
        <w:tc>
          <w:tcPr>
            <w:tcW w:w="616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65,6</w:t>
            </w:r>
          </w:p>
        </w:tc>
        <w:tc>
          <w:tcPr>
            <w:tcW w:w="900" w:type="dxa"/>
          </w:tcPr>
          <w:p w:rsidR="009A18AD" w:rsidRPr="004862B9" w:rsidRDefault="00C90E7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  <w:r w:rsidR="009A18AD"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616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359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4862B9" w:rsidRPr="004862B9" w:rsidTr="00E95BF3">
        <w:tc>
          <w:tcPr>
            <w:tcW w:w="559" w:type="dxa"/>
          </w:tcPr>
          <w:p w:rsidR="004862B9" w:rsidRPr="004862B9" w:rsidRDefault="00045650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813" w:type="dxa"/>
          </w:tcPr>
          <w:p w:rsidR="004862B9" w:rsidRPr="000D00A3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0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численность участников клубных формирований (в муниципальных домах культуры) в расчёте на 1 тыс.чел.</w:t>
            </w:r>
          </w:p>
        </w:tc>
        <w:tc>
          <w:tcPr>
            <w:tcW w:w="1165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31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36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00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16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359" w:type="dxa"/>
          </w:tcPr>
          <w:p w:rsidR="004862B9" w:rsidRPr="004862B9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</w:tr>
    </w:tbl>
    <w:p w:rsidR="00655EE6" w:rsidRPr="004862B9" w:rsidRDefault="00655EE6">
      <w:pPr>
        <w:rPr>
          <w:sz w:val="17"/>
          <w:szCs w:val="17"/>
        </w:rPr>
      </w:pPr>
    </w:p>
    <w:p w:rsidR="004F26D9" w:rsidRPr="004862B9" w:rsidRDefault="004F26D9" w:rsidP="004F26D9">
      <w:pPr>
        <w:jc w:val="right"/>
        <w:rPr>
          <w:sz w:val="17"/>
          <w:szCs w:val="17"/>
        </w:rPr>
      </w:pPr>
    </w:p>
    <w:p w:rsidR="004F26D9" w:rsidRPr="004862B9" w:rsidRDefault="004F26D9" w:rsidP="0052717A">
      <w:pPr>
        <w:jc w:val="center"/>
        <w:rPr>
          <w:sz w:val="17"/>
          <w:szCs w:val="17"/>
        </w:rPr>
        <w:sectPr w:rsidR="004F26D9" w:rsidRPr="004862B9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774DD2" w:rsidRDefault="00774DD2" w:rsidP="00774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F26D9" w:rsidRDefault="004F26D9" w:rsidP="0077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774DD2" w:rsidRPr="0052717A" w:rsidRDefault="00774DD2" w:rsidP="00774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062"/>
        <w:gridCol w:w="1763"/>
        <w:gridCol w:w="1608"/>
        <w:gridCol w:w="1108"/>
        <w:gridCol w:w="859"/>
        <w:gridCol w:w="859"/>
        <w:gridCol w:w="859"/>
        <w:gridCol w:w="859"/>
        <w:gridCol w:w="1191"/>
        <w:gridCol w:w="1513"/>
        <w:gridCol w:w="1504"/>
      </w:tblGrid>
      <w:tr w:rsidR="003B3FFA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8" w:type="pct"/>
            <w:gridSpan w:val="8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B8" w:rsidRPr="0052717A" w:rsidTr="004F26D9">
        <w:tc>
          <w:tcPr>
            <w:tcW w:w="20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1386,4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1592,4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3542,2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405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793A96"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93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4088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90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93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93A9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781,4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14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1446,4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03F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293" w:type="pct"/>
          </w:tcPr>
          <w:p w:rsidR="004F26D9" w:rsidRPr="0052717A" w:rsidRDefault="00E03F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982,4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C4088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793A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="00C4088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64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293" w:type="pct"/>
          </w:tcPr>
          <w:p w:rsidR="004F26D9" w:rsidRPr="0052717A" w:rsidRDefault="00E179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734,4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405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514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4039,6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2D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422A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D37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DD379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D379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F1B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B2FE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64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3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364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>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61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5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F63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DE103A" w:rsidRDefault="004F26D9" w:rsidP="00DE10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DE103A" w:rsidRDefault="00DE103A" w:rsidP="00DE10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03A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r w:rsidR="008E3EED">
              <w:rPr>
                <w:rFonts w:ascii="Times New Roman" w:hAnsi="Times New Roman" w:cs="Times New Roman"/>
                <w:sz w:val="18"/>
                <w:szCs w:val="18"/>
              </w:rPr>
              <w:t xml:space="preserve">лата денежного поощрения лучшим муниципальным учреждениям </w:t>
            </w:r>
            <w:proofErr w:type="spellStart"/>
            <w:r w:rsidR="008E3EED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="008E3EED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="008E3EED">
              <w:rPr>
                <w:rFonts w:ascii="Times New Roman" w:hAnsi="Times New Roman" w:cs="Times New Roman"/>
                <w:sz w:val="18"/>
                <w:szCs w:val="18"/>
              </w:rPr>
              <w:t>аходящим</w:t>
            </w:r>
            <w:r w:rsidRPr="00DE103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DE103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сельских поселений</w:t>
            </w:r>
            <w:r w:rsidR="008E3E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103A">
              <w:rPr>
                <w:rFonts w:ascii="Times New Roman" w:hAnsi="Times New Roman" w:cs="Times New Roman"/>
                <w:sz w:val="18"/>
                <w:szCs w:val="18"/>
              </w:rPr>
              <w:t xml:space="preserve"> и их работников</w:t>
            </w:r>
            <w:r w:rsidR="00A278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4F26D9" w:rsidRPr="0052717A" w:rsidRDefault="004F26D9" w:rsidP="00DE10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9722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8166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9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МБУК «Михайловский РКДЦ»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534AB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40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93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514" w:type="pct"/>
          </w:tcPr>
          <w:p w:rsidR="004F26D9" w:rsidRPr="0052717A" w:rsidRDefault="006E3B0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3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6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247,8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F67E7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7E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3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vMerge w:val="restart"/>
          </w:tcPr>
          <w:p w:rsidR="004F26D9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4F26D9" w:rsidRPr="00F3678F" w:rsidRDefault="00F3678F" w:rsidP="00F36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10E2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774DD2" w:rsidRDefault="004F26D9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DD2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общедоступных библиотек района к </w:t>
            </w:r>
            <w:r w:rsidR="003316B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 телекоммуникационной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сети </w:t>
            </w:r>
            <w:r w:rsidR="003316B8"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нтернет</w:t>
            </w:r>
            <w:r w:rsidR="003316B8">
              <w:rPr>
                <w:rFonts w:ascii="Times New Roman" w:hAnsi="Times New Roman" w:cs="Times New Roman"/>
                <w:sz w:val="18"/>
                <w:szCs w:val="18"/>
              </w:rPr>
              <w:t>»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293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7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  <w:r w:rsidR="003F67E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0698D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67E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5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4084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4084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4084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4084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3.2. Укрепление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1735,8</w:t>
            </w:r>
          </w:p>
        </w:tc>
        <w:tc>
          <w:tcPr>
            <w:tcW w:w="293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128A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947,4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806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128A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A137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vMerge w:val="restart"/>
          </w:tcPr>
          <w:p w:rsidR="004F26D9" w:rsidRPr="0052717A" w:rsidRDefault="00CD7015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3.2.1.Осуществление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ных работ (текущих ремонтов) муниципальных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учреждений культуры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(домов культуры, библиотек)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1735,8</w:t>
            </w:r>
          </w:p>
        </w:tc>
        <w:tc>
          <w:tcPr>
            <w:tcW w:w="293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2677,8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947,4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61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F67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706167" w:rsidRDefault="00706167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4.1. Создание 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93" w:type="pct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63F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F63F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589,6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B82DF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514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BD6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61BB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 w:rsidR="004F26D9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42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E95BF3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17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2717A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4F26D9" w:rsidRPr="0052717A" w:rsidTr="004F26D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26D9" w:rsidRPr="0052717A" w:rsidTr="004F26D9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1386,4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7A">
              <w:rPr>
                <w:rFonts w:ascii="Times New Roman" w:hAnsi="Times New Roman" w:cs="Times New Roman"/>
              </w:rPr>
              <w:t>1592,4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31E47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1875,2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3542,2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2224</w:t>
            </w:r>
            <w:r w:rsidR="004F26D9" w:rsidRPr="0052717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4F26D9" w:rsidRPr="0052717A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C31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816C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26D9" w:rsidRPr="0052717A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816C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26D9" w:rsidRPr="0052717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CD44B7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D780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5235">
              <w:rPr>
                <w:rFonts w:ascii="Times New Roman" w:hAnsi="Times New Roman" w:cs="Times New Roman"/>
              </w:rPr>
              <w:t>161</w:t>
            </w:r>
            <w:r w:rsidR="001D24F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  <w:r w:rsidR="001D24F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  <w:r w:rsidR="004D780A">
              <w:rPr>
                <w:rFonts w:ascii="Times New Roman" w:hAnsi="Times New Roman" w:cs="Times New Roman"/>
              </w:rPr>
              <w:t>5,6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1446,4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00B96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4513B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D24F5"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2A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0E5235" w:rsidP="00671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4039,6</w:t>
            </w:r>
          </w:p>
        </w:tc>
      </w:tr>
    </w:tbl>
    <w:p w:rsidR="004F26D9" w:rsidRPr="0052717A" w:rsidRDefault="004F26D9" w:rsidP="00E95B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6D9" w:rsidRPr="0052717A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7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8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C5"/>
    <w:rsid w:val="000128A8"/>
    <w:rsid w:val="00034E79"/>
    <w:rsid w:val="00036492"/>
    <w:rsid w:val="00045650"/>
    <w:rsid w:val="0006387D"/>
    <w:rsid w:val="000A4E12"/>
    <w:rsid w:val="000B19A1"/>
    <w:rsid w:val="000B4B19"/>
    <w:rsid w:val="000D00A3"/>
    <w:rsid w:val="000E3031"/>
    <w:rsid w:val="000E5235"/>
    <w:rsid w:val="000F5493"/>
    <w:rsid w:val="000F75A2"/>
    <w:rsid w:val="000F7E3B"/>
    <w:rsid w:val="00106172"/>
    <w:rsid w:val="0011687A"/>
    <w:rsid w:val="00135843"/>
    <w:rsid w:val="001531B4"/>
    <w:rsid w:val="00164F42"/>
    <w:rsid w:val="001816C3"/>
    <w:rsid w:val="001D0705"/>
    <w:rsid w:val="001D24F5"/>
    <w:rsid w:val="001E7C70"/>
    <w:rsid w:val="001F79B7"/>
    <w:rsid w:val="00200B96"/>
    <w:rsid w:val="00245635"/>
    <w:rsid w:val="002C4A1E"/>
    <w:rsid w:val="002E6A92"/>
    <w:rsid w:val="002F1BAD"/>
    <w:rsid w:val="0030698D"/>
    <w:rsid w:val="003316B8"/>
    <w:rsid w:val="003401B2"/>
    <w:rsid w:val="003414D6"/>
    <w:rsid w:val="00363997"/>
    <w:rsid w:val="00381662"/>
    <w:rsid w:val="0039430A"/>
    <w:rsid w:val="003A250E"/>
    <w:rsid w:val="003B3FFA"/>
    <w:rsid w:val="003F67E7"/>
    <w:rsid w:val="00406AAF"/>
    <w:rsid w:val="00407067"/>
    <w:rsid w:val="00413AA6"/>
    <w:rsid w:val="00417BBA"/>
    <w:rsid w:val="0042063D"/>
    <w:rsid w:val="00444AEB"/>
    <w:rsid w:val="0044513B"/>
    <w:rsid w:val="00453488"/>
    <w:rsid w:val="004615E0"/>
    <w:rsid w:val="004862B9"/>
    <w:rsid w:val="004862FC"/>
    <w:rsid w:val="004873EE"/>
    <w:rsid w:val="00493095"/>
    <w:rsid w:val="0049722B"/>
    <w:rsid w:val="004A2415"/>
    <w:rsid w:val="004D554A"/>
    <w:rsid w:val="004D780A"/>
    <w:rsid w:val="004E5D79"/>
    <w:rsid w:val="004F26D9"/>
    <w:rsid w:val="0052717A"/>
    <w:rsid w:val="00532DA3"/>
    <w:rsid w:val="00533EA2"/>
    <w:rsid w:val="00534ABD"/>
    <w:rsid w:val="005424CB"/>
    <w:rsid w:val="00547A6D"/>
    <w:rsid w:val="005A2C5B"/>
    <w:rsid w:val="005B2FE6"/>
    <w:rsid w:val="00633895"/>
    <w:rsid w:val="0063711F"/>
    <w:rsid w:val="00655EE6"/>
    <w:rsid w:val="00671FCE"/>
    <w:rsid w:val="0069270C"/>
    <w:rsid w:val="006C1EFA"/>
    <w:rsid w:val="006C6AD3"/>
    <w:rsid w:val="006E3394"/>
    <w:rsid w:val="006E3B05"/>
    <w:rsid w:val="00703D83"/>
    <w:rsid w:val="00706167"/>
    <w:rsid w:val="007167A9"/>
    <w:rsid w:val="00744EE4"/>
    <w:rsid w:val="00774DD2"/>
    <w:rsid w:val="00793A96"/>
    <w:rsid w:val="007E20CE"/>
    <w:rsid w:val="007E6BAD"/>
    <w:rsid w:val="007F47AB"/>
    <w:rsid w:val="00822B42"/>
    <w:rsid w:val="00825881"/>
    <w:rsid w:val="00831987"/>
    <w:rsid w:val="00865089"/>
    <w:rsid w:val="008753AC"/>
    <w:rsid w:val="00891B0C"/>
    <w:rsid w:val="00892779"/>
    <w:rsid w:val="008B5BB8"/>
    <w:rsid w:val="008E1EC5"/>
    <w:rsid w:val="008E3EED"/>
    <w:rsid w:val="008F7588"/>
    <w:rsid w:val="00902D83"/>
    <w:rsid w:val="00914E58"/>
    <w:rsid w:val="00935064"/>
    <w:rsid w:val="009360D8"/>
    <w:rsid w:val="00956A30"/>
    <w:rsid w:val="00964D87"/>
    <w:rsid w:val="009679AA"/>
    <w:rsid w:val="00970604"/>
    <w:rsid w:val="0098105B"/>
    <w:rsid w:val="00994078"/>
    <w:rsid w:val="00997D7F"/>
    <w:rsid w:val="009A18AD"/>
    <w:rsid w:val="009A6D4B"/>
    <w:rsid w:val="009E110A"/>
    <w:rsid w:val="009E5563"/>
    <w:rsid w:val="00A137B8"/>
    <w:rsid w:val="00A27864"/>
    <w:rsid w:val="00A37E27"/>
    <w:rsid w:val="00A40847"/>
    <w:rsid w:val="00A422A4"/>
    <w:rsid w:val="00A8542A"/>
    <w:rsid w:val="00AA1706"/>
    <w:rsid w:val="00AD6473"/>
    <w:rsid w:val="00AF50AC"/>
    <w:rsid w:val="00B06B92"/>
    <w:rsid w:val="00B27F38"/>
    <w:rsid w:val="00B403DD"/>
    <w:rsid w:val="00B53321"/>
    <w:rsid w:val="00B57761"/>
    <w:rsid w:val="00B62F9E"/>
    <w:rsid w:val="00B778D5"/>
    <w:rsid w:val="00B806E7"/>
    <w:rsid w:val="00B82DFB"/>
    <w:rsid w:val="00BC55D2"/>
    <w:rsid w:val="00BD61BB"/>
    <w:rsid w:val="00BE2A7F"/>
    <w:rsid w:val="00BE3BCB"/>
    <w:rsid w:val="00BE70D4"/>
    <w:rsid w:val="00C10E27"/>
    <w:rsid w:val="00C250CC"/>
    <w:rsid w:val="00C31E47"/>
    <w:rsid w:val="00C400A6"/>
    <w:rsid w:val="00C40885"/>
    <w:rsid w:val="00C56358"/>
    <w:rsid w:val="00C90E76"/>
    <w:rsid w:val="00CD44B7"/>
    <w:rsid w:val="00CD5B1A"/>
    <w:rsid w:val="00CD7015"/>
    <w:rsid w:val="00D14534"/>
    <w:rsid w:val="00D33D16"/>
    <w:rsid w:val="00D5293E"/>
    <w:rsid w:val="00D838FC"/>
    <w:rsid w:val="00DB14E6"/>
    <w:rsid w:val="00DB7B6E"/>
    <w:rsid w:val="00DD1783"/>
    <w:rsid w:val="00DD3793"/>
    <w:rsid w:val="00DE103A"/>
    <w:rsid w:val="00DF6AC3"/>
    <w:rsid w:val="00E02AF9"/>
    <w:rsid w:val="00E03FA4"/>
    <w:rsid w:val="00E106AF"/>
    <w:rsid w:val="00E12123"/>
    <w:rsid w:val="00E179F6"/>
    <w:rsid w:val="00E20BDB"/>
    <w:rsid w:val="00E36729"/>
    <w:rsid w:val="00E95B50"/>
    <w:rsid w:val="00E95BF3"/>
    <w:rsid w:val="00E97506"/>
    <w:rsid w:val="00EC641F"/>
    <w:rsid w:val="00EE0582"/>
    <w:rsid w:val="00EF25E3"/>
    <w:rsid w:val="00F03841"/>
    <w:rsid w:val="00F16A19"/>
    <w:rsid w:val="00F3678F"/>
    <w:rsid w:val="00F57A69"/>
    <w:rsid w:val="00F60E19"/>
    <w:rsid w:val="00F63331"/>
    <w:rsid w:val="00F63F15"/>
    <w:rsid w:val="00F6677E"/>
    <w:rsid w:val="00F75C72"/>
    <w:rsid w:val="00F95F9F"/>
    <w:rsid w:val="00F96877"/>
    <w:rsid w:val="00FD70EB"/>
    <w:rsid w:val="00FD7646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22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Кузнецова</cp:lastModifiedBy>
  <cp:revision>147</cp:revision>
  <cp:lastPrinted>2019-04-01T09:05:00Z</cp:lastPrinted>
  <dcterms:created xsi:type="dcterms:W3CDTF">2014-11-28T09:35:00Z</dcterms:created>
  <dcterms:modified xsi:type="dcterms:W3CDTF">2019-04-16T07:25:00Z</dcterms:modified>
</cp:coreProperties>
</file>