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94" w:rsidRPr="00F03493" w:rsidRDefault="00453794" w:rsidP="00453794">
      <w:pPr>
        <w:pStyle w:val="Style1"/>
        <w:widowControl/>
        <w:spacing w:line="240" w:lineRule="auto"/>
        <w:ind w:firstLine="708"/>
        <w:rPr>
          <w:rStyle w:val="FontStyle11"/>
          <w:b/>
          <w:sz w:val="28"/>
          <w:szCs w:val="28"/>
        </w:rPr>
      </w:pPr>
      <w:r w:rsidRPr="00F03493">
        <w:rPr>
          <w:rStyle w:val="FontStyle11"/>
          <w:b/>
          <w:sz w:val="28"/>
          <w:szCs w:val="28"/>
        </w:rPr>
        <w:t xml:space="preserve">АДМИНИСТРАЦИЯ МИХАЙЛОВСКОГО РАЙОНА </w:t>
      </w:r>
    </w:p>
    <w:p w:rsidR="00453794" w:rsidRPr="00F03493" w:rsidRDefault="00453794" w:rsidP="00453794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F03493">
        <w:rPr>
          <w:rStyle w:val="FontStyle11"/>
          <w:b/>
          <w:sz w:val="28"/>
          <w:szCs w:val="28"/>
        </w:rPr>
        <w:t>АЛТАЙСКОГО КРАЯ</w:t>
      </w:r>
    </w:p>
    <w:p w:rsidR="00453794" w:rsidRDefault="00453794" w:rsidP="00453794">
      <w:pPr>
        <w:pStyle w:val="Style2"/>
        <w:widowControl/>
        <w:spacing w:line="240" w:lineRule="auto"/>
        <w:jc w:val="both"/>
        <w:rPr>
          <w:rStyle w:val="FontStyle12"/>
          <w:sz w:val="28"/>
          <w:szCs w:val="28"/>
        </w:rPr>
      </w:pPr>
    </w:p>
    <w:p w:rsidR="00453794" w:rsidRDefault="00453794" w:rsidP="00453794">
      <w:pPr>
        <w:pStyle w:val="Style2"/>
        <w:widowControl/>
        <w:spacing w:line="240" w:lineRule="auto"/>
        <w:jc w:val="both"/>
        <w:rPr>
          <w:rStyle w:val="FontStyle12"/>
          <w:sz w:val="28"/>
          <w:szCs w:val="28"/>
        </w:rPr>
      </w:pPr>
    </w:p>
    <w:p w:rsidR="00453794" w:rsidRPr="00BF173F" w:rsidRDefault="00453794" w:rsidP="00453794">
      <w:pPr>
        <w:pStyle w:val="Style2"/>
        <w:widowControl/>
        <w:spacing w:line="240" w:lineRule="auto"/>
        <w:jc w:val="center"/>
        <w:rPr>
          <w:rStyle w:val="FontStyle12"/>
          <w:sz w:val="28"/>
          <w:szCs w:val="28"/>
        </w:rPr>
      </w:pPr>
      <w:r w:rsidRPr="00BF173F">
        <w:rPr>
          <w:rStyle w:val="FontStyle12"/>
          <w:sz w:val="28"/>
          <w:szCs w:val="28"/>
        </w:rPr>
        <w:t>ПОСТАНОВЛЕНИЕ</w:t>
      </w:r>
    </w:p>
    <w:p w:rsidR="00453794" w:rsidRDefault="00453794" w:rsidP="00453794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</w:p>
    <w:p w:rsidR="00453794" w:rsidRDefault="00D32F23" w:rsidP="00453794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11.10.2017</w:t>
      </w:r>
      <w:r w:rsidR="004B094C">
        <w:rPr>
          <w:rStyle w:val="FontStyle12"/>
          <w:sz w:val="28"/>
          <w:szCs w:val="28"/>
        </w:rPr>
        <w:t xml:space="preserve"> г</w:t>
      </w:r>
      <w:r w:rsidR="00453794">
        <w:rPr>
          <w:rStyle w:val="FontStyle12"/>
          <w:sz w:val="28"/>
          <w:szCs w:val="28"/>
        </w:rPr>
        <w:t xml:space="preserve">.                               </w:t>
      </w:r>
      <w:r w:rsidR="00453794">
        <w:rPr>
          <w:rStyle w:val="FontStyle12"/>
          <w:sz w:val="28"/>
          <w:szCs w:val="28"/>
        </w:rPr>
        <w:tab/>
      </w:r>
      <w:r w:rsidR="00453794">
        <w:rPr>
          <w:rStyle w:val="FontStyle12"/>
          <w:sz w:val="28"/>
          <w:szCs w:val="28"/>
        </w:rPr>
        <w:tab/>
      </w:r>
      <w:r w:rsidR="00453794">
        <w:rPr>
          <w:rStyle w:val="FontStyle12"/>
          <w:sz w:val="28"/>
          <w:szCs w:val="28"/>
        </w:rPr>
        <w:tab/>
        <w:t xml:space="preserve">     </w:t>
      </w:r>
      <w:r w:rsidR="00415263">
        <w:rPr>
          <w:rStyle w:val="FontStyle12"/>
          <w:sz w:val="28"/>
          <w:szCs w:val="28"/>
        </w:rPr>
        <w:tab/>
      </w:r>
      <w:r w:rsidR="00415263">
        <w:rPr>
          <w:rStyle w:val="FontStyle12"/>
          <w:sz w:val="28"/>
          <w:szCs w:val="28"/>
        </w:rPr>
        <w:tab/>
      </w:r>
      <w:r w:rsidR="00415263">
        <w:rPr>
          <w:rStyle w:val="FontStyle12"/>
          <w:sz w:val="28"/>
          <w:szCs w:val="28"/>
        </w:rPr>
        <w:tab/>
      </w:r>
      <w:r w:rsidR="004B094C">
        <w:rPr>
          <w:rStyle w:val="FontStyle12"/>
          <w:sz w:val="28"/>
          <w:szCs w:val="28"/>
        </w:rPr>
        <w:t xml:space="preserve">  </w:t>
      </w:r>
      <w:r>
        <w:rPr>
          <w:rStyle w:val="FontStyle12"/>
          <w:sz w:val="28"/>
          <w:szCs w:val="28"/>
        </w:rPr>
        <w:t>443</w:t>
      </w:r>
    </w:p>
    <w:p w:rsidR="00453794" w:rsidRPr="00E07083" w:rsidRDefault="00453794" w:rsidP="00453794">
      <w:pPr>
        <w:pStyle w:val="Style2"/>
        <w:widowControl/>
        <w:spacing w:line="240" w:lineRule="auto"/>
        <w:jc w:val="center"/>
        <w:rPr>
          <w:rStyle w:val="FontStyle12"/>
        </w:rPr>
      </w:pPr>
      <w:r w:rsidRPr="00E07083">
        <w:rPr>
          <w:rStyle w:val="FontStyle12"/>
        </w:rPr>
        <w:t>с</w:t>
      </w:r>
      <w:proofErr w:type="gramStart"/>
      <w:r w:rsidRPr="00E07083">
        <w:rPr>
          <w:rStyle w:val="FontStyle12"/>
        </w:rPr>
        <w:t>.М</w:t>
      </w:r>
      <w:proofErr w:type="gramEnd"/>
      <w:r w:rsidRPr="00E07083">
        <w:rPr>
          <w:rStyle w:val="FontStyle12"/>
        </w:rPr>
        <w:t>ихайловское</w:t>
      </w:r>
      <w:r>
        <w:rPr>
          <w:rStyle w:val="FontStyle12"/>
        </w:rPr>
        <w:t xml:space="preserve">    </w:t>
      </w:r>
    </w:p>
    <w:p w:rsidR="00453794" w:rsidRDefault="00453794" w:rsidP="00453794">
      <w:pPr>
        <w:pStyle w:val="Style3"/>
        <w:widowControl/>
        <w:spacing w:line="240" w:lineRule="auto"/>
        <w:rPr>
          <w:sz w:val="28"/>
          <w:szCs w:val="28"/>
        </w:rPr>
      </w:pPr>
    </w:p>
    <w:p w:rsidR="00575933" w:rsidRPr="00575933" w:rsidRDefault="00575933" w:rsidP="00575933">
      <w:pPr>
        <w:pStyle w:val="a4"/>
        <w:rPr>
          <w:rFonts w:ascii="Times New Roman" w:hAnsi="Times New Roman" w:cs="Times New Roman"/>
          <w:sz w:val="28"/>
          <w:szCs w:val="28"/>
        </w:rPr>
      </w:pPr>
      <w:r w:rsidRPr="00575933">
        <w:rPr>
          <w:rFonts w:ascii="Times New Roman" w:hAnsi="Times New Roman" w:cs="Times New Roman"/>
          <w:sz w:val="28"/>
          <w:szCs w:val="28"/>
        </w:rPr>
        <w:t xml:space="preserve">Об одобрении  Прогноза социально – </w:t>
      </w:r>
    </w:p>
    <w:p w:rsidR="00575933" w:rsidRPr="00575933" w:rsidRDefault="00575933" w:rsidP="00575933">
      <w:pPr>
        <w:pStyle w:val="a4"/>
        <w:rPr>
          <w:rFonts w:ascii="Times New Roman" w:hAnsi="Times New Roman" w:cs="Times New Roman"/>
          <w:sz w:val="28"/>
          <w:szCs w:val="28"/>
        </w:rPr>
      </w:pPr>
      <w:r w:rsidRPr="00575933">
        <w:rPr>
          <w:rFonts w:ascii="Times New Roman" w:hAnsi="Times New Roman" w:cs="Times New Roman"/>
          <w:sz w:val="28"/>
          <w:szCs w:val="28"/>
        </w:rPr>
        <w:t xml:space="preserve">экономического развития Михайловского </w:t>
      </w:r>
    </w:p>
    <w:p w:rsidR="00575933" w:rsidRPr="00575933" w:rsidRDefault="00575933" w:rsidP="00575933">
      <w:pPr>
        <w:pStyle w:val="a4"/>
        <w:rPr>
          <w:rFonts w:ascii="Times New Roman" w:hAnsi="Times New Roman" w:cs="Times New Roman"/>
          <w:sz w:val="28"/>
          <w:szCs w:val="28"/>
        </w:rPr>
      </w:pPr>
      <w:r w:rsidRPr="00575933">
        <w:rPr>
          <w:rFonts w:ascii="Times New Roman" w:hAnsi="Times New Roman" w:cs="Times New Roman"/>
          <w:sz w:val="28"/>
          <w:szCs w:val="28"/>
        </w:rPr>
        <w:t>района  на 201</w:t>
      </w:r>
      <w:r w:rsidR="00195BAB">
        <w:rPr>
          <w:rFonts w:ascii="Times New Roman" w:hAnsi="Times New Roman" w:cs="Times New Roman"/>
          <w:sz w:val="28"/>
          <w:szCs w:val="28"/>
        </w:rPr>
        <w:t>8</w:t>
      </w:r>
      <w:r w:rsidRPr="00575933">
        <w:rPr>
          <w:rFonts w:ascii="Times New Roman" w:hAnsi="Times New Roman" w:cs="Times New Roman"/>
          <w:sz w:val="28"/>
          <w:szCs w:val="28"/>
        </w:rPr>
        <w:t xml:space="preserve"> – 20</w:t>
      </w:r>
      <w:r w:rsidR="00195BAB">
        <w:rPr>
          <w:rFonts w:ascii="Times New Roman" w:hAnsi="Times New Roman" w:cs="Times New Roman"/>
          <w:sz w:val="28"/>
          <w:szCs w:val="28"/>
        </w:rPr>
        <w:t>20</w:t>
      </w:r>
      <w:r w:rsidRPr="00575933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575933" w:rsidRPr="00575933" w:rsidRDefault="00575933" w:rsidP="00575933">
      <w:pPr>
        <w:pStyle w:val="a4"/>
        <w:rPr>
          <w:rFonts w:ascii="Times New Roman" w:hAnsi="Times New Roman" w:cs="Times New Roman"/>
          <w:sz w:val="28"/>
          <w:szCs w:val="28"/>
        </w:rPr>
      </w:pPr>
      <w:r w:rsidRPr="005759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5933" w:rsidRPr="00575933" w:rsidRDefault="00575933" w:rsidP="00575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5933" w:rsidRPr="00575933" w:rsidRDefault="00575933" w:rsidP="00575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75933">
        <w:rPr>
          <w:rFonts w:ascii="Times New Roman" w:hAnsi="Times New Roman" w:cs="Times New Roman"/>
          <w:sz w:val="28"/>
        </w:rPr>
        <w:t xml:space="preserve">В соответствии постановлением  Администрации Михайловского района от 25.04.2016 года  № 146 «Об утверждении Порядков разработки, корректировки, осуществления мониторинга и контроля реализации документов стратегического планирования»,  </w:t>
      </w:r>
    </w:p>
    <w:p w:rsidR="00575933" w:rsidRPr="00575933" w:rsidRDefault="00575933" w:rsidP="00575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575933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575933">
        <w:rPr>
          <w:rFonts w:ascii="Times New Roman" w:hAnsi="Times New Roman" w:cs="Times New Roman"/>
          <w:sz w:val="28"/>
        </w:rPr>
        <w:t xml:space="preserve"> о с т а </w:t>
      </w:r>
      <w:proofErr w:type="spellStart"/>
      <w:r w:rsidRPr="00575933">
        <w:rPr>
          <w:rFonts w:ascii="Times New Roman" w:hAnsi="Times New Roman" w:cs="Times New Roman"/>
          <w:sz w:val="28"/>
        </w:rPr>
        <w:t>н</w:t>
      </w:r>
      <w:proofErr w:type="spellEnd"/>
      <w:r w:rsidRPr="00575933">
        <w:rPr>
          <w:rFonts w:ascii="Times New Roman" w:hAnsi="Times New Roman" w:cs="Times New Roman"/>
          <w:sz w:val="28"/>
        </w:rPr>
        <w:t xml:space="preserve"> о в л я ю:</w:t>
      </w:r>
    </w:p>
    <w:p w:rsidR="00575933" w:rsidRPr="00575933" w:rsidRDefault="00575933" w:rsidP="00575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575933">
        <w:rPr>
          <w:rFonts w:ascii="Times New Roman" w:hAnsi="Times New Roman" w:cs="Times New Roman"/>
          <w:sz w:val="28"/>
        </w:rPr>
        <w:t>1. Одобрить прогноз социально–экономического развития  Михайловского района  на  201</w:t>
      </w:r>
      <w:r w:rsidR="00195BAB">
        <w:rPr>
          <w:rFonts w:ascii="Times New Roman" w:hAnsi="Times New Roman" w:cs="Times New Roman"/>
          <w:sz w:val="28"/>
        </w:rPr>
        <w:t>8</w:t>
      </w:r>
      <w:r w:rsidRPr="00575933">
        <w:rPr>
          <w:rFonts w:ascii="Times New Roman" w:hAnsi="Times New Roman" w:cs="Times New Roman"/>
          <w:sz w:val="28"/>
        </w:rPr>
        <w:t>-20</w:t>
      </w:r>
      <w:r w:rsidR="00195BAB">
        <w:rPr>
          <w:rFonts w:ascii="Times New Roman" w:hAnsi="Times New Roman" w:cs="Times New Roman"/>
          <w:sz w:val="28"/>
        </w:rPr>
        <w:t>20</w:t>
      </w:r>
      <w:r w:rsidRPr="00575933">
        <w:rPr>
          <w:rFonts w:ascii="Times New Roman" w:hAnsi="Times New Roman" w:cs="Times New Roman"/>
          <w:sz w:val="28"/>
        </w:rPr>
        <w:t xml:space="preserve"> годы (приложение).</w:t>
      </w:r>
    </w:p>
    <w:p w:rsidR="00575933" w:rsidRPr="00575933" w:rsidRDefault="00575933" w:rsidP="00575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575933">
        <w:rPr>
          <w:rFonts w:ascii="Times New Roman" w:hAnsi="Times New Roman" w:cs="Times New Roman"/>
          <w:sz w:val="28"/>
        </w:rPr>
        <w:t>2.  Прогноз социально–экономического развития Михайловского района  на  201</w:t>
      </w:r>
      <w:r w:rsidR="00195BAB">
        <w:rPr>
          <w:rFonts w:ascii="Times New Roman" w:hAnsi="Times New Roman" w:cs="Times New Roman"/>
          <w:sz w:val="28"/>
        </w:rPr>
        <w:t>8</w:t>
      </w:r>
      <w:r w:rsidRPr="00575933">
        <w:rPr>
          <w:rFonts w:ascii="Times New Roman" w:hAnsi="Times New Roman" w:cs="Times New Roman"/>
          <w:sz w:val="28"/>
        </w:rPr>
        <w:t>-20</w:t>
      </w:r>
      <w:r w:rsidR="00195BAB">
        <w:rPr>
          <w:rFonts w:ascii="Times New Roman" w:hAnsi="Times New Roman" w:cs="Times New Roman"/>
          <w:sz w:val="28"/>
        </w:rPr>
        <w:t>20</w:t>
      </w:r>
      <w:r w:rsidRPr="00575933">
        <w:rPr>
          <w:rFonts w:ascii="Times New Roman" w:hAnsi="Times New Roman" w:cs="Times New Roman"/>
          <w:sz w:val="28"/>
        </w:rPr>
        <w:t xml:space="preserve"> годы  представить в Михайловское районное Собрание депутатов одновременно с проектом  решения о районном бюджете на 2017 год.</w:t>
      </w:r>
    </w:p>
    <w:p w:rsidR="00575933" w:rsidRPr="00575933" w:rsidRDefault="00575933" w:rsidP="00575933">
      <w:pPr>
        <w:pStyle w:val="Style5"/>
        <w:widowControl/>
        <w:tabs>
          <w:tab w:val="left" w:pos="567"/>
        </w:tabs>
        <w:spacing w:line="240" w:lineRule="auto"/>
        <w:ind w:firstLine="0"/>
        <w:rPr>
          <w:sz w:val="28"/>
        </w:rPr>
      </w:pPr>
      <w:r w:rsidRPr="00575933">
        <w:rPr>
          <w:sz w:val="28"/>
        </w:rPr>
        <w:tab/>
        <w:t xml:space="preserve">3. </w:t>
      </w:r>
      <w:proofErr w:type="gramStart"/>
      <w:r w:rsidRPr="00575933">
        <w:rPr>
          <w:sz w:val="28"/>
        </w:rPr>
        <w:t>Контроль за</w:t>
      </w:r>
      <w:proofErr w:type="gramEnd"/>
      <w:r w:rsidRPr="00575933">
        <w:rPr>
          <w:sz w:val="28"/>
        </w:rPr>
        <w:t xml:space="preserve"> исполнением постановления возложить на </w:t>
      </w:r>
      <w:r w:rsidR="00195BAB">
        <w:rPr>
          <w:sz w:val="28"/>
        </w:rPr>
        <w:t>начальника Главного управления по экономическому развитию и имущественным отношениям</w:t>
      </w:r>
      <w:r w:rsidRPr="00575933">
        <w:rPr>
          <w:sz w:val="28"/>
        </w:rPr>
        <w:t xml:space="preserve"> Администрации района  Антонову О.А.</w:t>
      </w:r>
    </w:p>
    <w:p w:rsidR="00453794" w:rsidRPr="00575933" w:rsidRDefault="00453794" w:rsidP="00575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453794" w:rsidRPr="00575933" w:rsidRDefault="00453794" w:rsidP="00453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1C12" w:rsidRPr="00575933" w:rsidRDefault="00011C12" w:rsidP="00011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453794" w:rsidRDefault="00195BAB" w:rsidP="00011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И.о. главы Михайловского </w:t>
      </w:r>
      <w:r w:rsidR="00453794" w:rsidRPr="00575933">
        <w:rPr>
          <w:rFonts w:ascii="Times New Roman" w:hAnsi="Times New Roman" w:cs="Times New Roman"/>
          <w:sz w:val="28"/>
        </w:rPr>
        <w:t xml:space="preserve"> </w:t>
      </w:r>
      <w:r w:rsidR="00011C12" w:rsidRPr="00575933">
        <w:rPr>
          <w:rFonts w:ascii="Times New Roman" w:hAnsi="Times New Roman" w:cs="Times New Roman"/>
          <w:sz w:val="28"/>
        </w:rPr>
        <w:t xml:space="preserve">района                    </w:t>
      </w:r>
      <w:r w:rsidR="00D068E8" w:rsidRPr="00575933">
        <w:rPr>
          <w:rFonts w:ascii="Times New Roman" w:hAnsi="Times New Roman" w:cs="Times New Roman"/>
          <w:sz w:val="28"/>
        </w:rPr>
        <w:tab/>
      </w:r>
      <w:r w:rsidR="00011C12" w:rsidRPr="00575933">
        <w:rPr>
          <w:rFonts w:ascii="Times New Roman" w:hAnsi="Times New Roman" w:cs="Times New Roman"/>
          <w:sz w:val="28"/>
        </w:rPr>
        <w:t xml:space="preserve"> </w:t>
      </w:r>
      <w:r w:rsidR="006D1A07" w:rsidRPr="00575933">
        <w:rPr>
          <w:rFonts w:ascii="Times New Roman" w:hAnsi="Times New Roman" w:cs="Times New Roman"/>
          <w:sz w:val="28"/>
        </w:rPr>
        <w:tab/>
      </w:r>
      <w:r w:rsidR="006D1A07" w:rsidRPr="00575933">
        <w:rPr>
          <w:rFonts w:ascii="Times New Roman" w:hAnsi="Times New Roman" w:cs="Times New Roman"/>
          <w:sz w:val="28"/>
        </w:rPr>
        <w:tab/>
      </w:r>
      <w:r w:rsidR="006D1A07" w:rsidRPr="00575933">
        <w:rPr>
          <w:rFonts w:ascii="Times New Roman" w:hAnsi="Times New Roman" w:cs="Times New Roman"/>
          <w:sz w:val="28"/>
        </w:rPr>
        <w:tab/>
        <w:t xml:space="preserve">   </w:t>
      </w:r>
      <w:r>
        <w:rPr>
          <w:rFonts w:ascii="Times New Roman" w:hAnsi="Times New Roman" w:cs="Times New Roman"/>
          <w:sz w:val="28"/>
        </w:rPr>
        <w:t xml:space="preserve">   Е.А. Юрьев</w:t>
      </w:r>
    </w:p>
    <w:p w:rsidR="00BF0303" w:rsidRDefault="00BF0303" w:rsidP="00011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BF0303" w:rsidRDefault="00BF0303" w:rsidP="00011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BF0303" w:rsidRDefault="00BF0303" w:rsidP="00011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BF0303" w:rsidRDefault="00BF0303" w:rsidP="00011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BF0303" w:rsidRDefault="00BF0303" w:rsidP="00011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BF0303" w:rsidRDefault="00BF0303" w:rsidP="00011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BF0303" w:rsidRDefault="00BF0303" w:rsidP="00011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BF0303" w:rsidRDefault="00BF0303" w:rsidP="00011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BF0303" w:rsidRDefault="00BF0303" w:rsidP="00011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BF0303" w:rsidRDefault="00BF0303" w:rsidP="00011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BF0303" w:rsidRDefault="00BF0303" w:rsidP="00011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BF0303" w:rsidRDefault="00BF0303" w:rsidP="00011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BF0303" w:rsidRDefault="00BF0303" w:rsidP="00011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BF0303" w:rsidRDefault="00BF0303" w:rsidP="00011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BF0303" w:rsidRDefault="00BF0303" w:rsidP="00011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BF0303" w:rsidRDefault="00BF0303" w:rsidP="00011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BF0303" w:rsidRDefault="00BF0303">
      <w:pPr>
        <w:spacing w:after="200" w:line="276" w:lineRule="auto"/>
        <w:rPr>
          <w:rFonts w:eastAsiaTheme="minorEastAsia"/>
          <w:lang w:eastAsia="ru-RU"/>
        </w:rPr>
        <w:sectPr w:rsidR="00BF0303" w:rsidSect="00D27DA2">
          <w:pgSz w:w="11906" w:h="16838"/>
          <w:pgMar w:top="851" w:right="850" w:bottom="851" w:left="1276" w:header="708" w:footer="708" w:gutter="0"/>
          <w:cols w:space="708"/>
          <w:docGrid w:linePitch="360"/>
        </w:sectPr>
      </w:pPr>
    </w:p>
    <w:tbl>
      <w:tblPr>
        <w:tblW w:w="15600" w:type="dxa"/>
        <w:tblInd w:w="-34" w:type="dxa"/>
        <w:tblLayout w:type="fixed"/>
        <w:tblLook w:val="04A0"/>
      </w:tblPr>
      <w:tblGrid>
        <w:gridCol w:w="487"/>
        <w:gridCol w:w="2508"/>
        <w:gridCol w:w="295"/>
        <w:gridCol w:w="558"/>
        <w:gridCol w:w="284"/>
        <w:gridCol w:w="568"/>
        <w:gridCol w:w="284"/>
        <w:gridCol w:w="850"/>
        <w:gridCol w:w="191"/>
        <w:gridCol w:w="660"/>
        <w:gridCol w:w="283"/>
        <w:gridCol w:w="709"/>
        <w:gridCol w:w="332"/>
        <w:gridCol w:w="660"/>
        <w:gridCol w:w="381"/>
        <w:gridCol w:w="611"/>
        <w:gridCol w:w="430"/>
        <w:gridCol w:w="563"/>
        <w:gridCol w:w="478"/>
        <w:gridCol w:w="514"/>
        <w:gridCol w:w="527"/>
        <w:gridCol w:w="465"/>
        <w:gridCol w:w="576"/>
        <w:gridCol w:w="416"/>
        <w:gridCol w:w="625"/>
        <w:gridCol w:w="368"/>
        <w:gridCol w:w="673"/>
        <w:gridCol w:w="304"/>
      </w:tblGrid>
      <w:tr w:rsidR="00BF0303" w:rsidTr="00BF0303">
        <w:trPr>
          <w:trHeight w:val="930"/>
        </w:trPr>
        <w:tc>
          <w:tcPr>
            <w:tcW w:w="487" w:type="dxa"/>
            <w:noWrap/>
            <w:vAlign w:val="bottom"/>
            <w:hideMark/>
          </w:tcPr>
          <w:p w:rsidR="00BF0303" w:rsidRDefault="00BF0303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803" w:type="dxa"/>
            <w:gridSpan w:val="2"/>
            <w:noWrap/>
            <w:vAlign w:val="bottom"/>
            <w:hideMark/>
          </w:tcPr>
          <w:p w:rsidR="00BF0303" w:rsidRDefault="00BF0303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42" w:type="dxa"/>
            <w:gridSpan w:val="2"/>
            <w:noWrap/>
            <w:vAlign w:val="bottom"/>
            <w:hideMark/>
          </w:tcPr>
          <w:p w:rsidR="00BF0303" w:rsidRDefault="00BF0303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52" w:type="dxa"/>
            <w:gridSpan w:val="2"/>
            <w:noWrap/>
            <w:vAlign w:val="bottom"/>
            <w:hideMark/>
          </w:tcPr>
          <w:p w:rsidR="00BF0303" w:rsidRDefault="00BF0303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41" w:type="dxa"/>
            <w:gridSpan w:val="2"/>
            <w:noWrap/>
            <w:vAlign w:val="bottom"/>
            <w:hideMark/>
          </w:tcPr>
          <w:p w:rsidR="00BF0303" w:rsidRDefault="00BF0303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43" w:type="dxa"/>
            <w:gridSpan w:val="2"/>
            <w:noWrap/>
            <w:vAlign w:val="bottom"/>
            <w:hideMark/>
          </w:tcPr>
          <w:p w:rsidR="00BF0303" w:rsidRDefault="00BF0303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41" w:type="dxa"/>
            <w:gridSpan w:val="2"/>
            <w:noWrap/>
            <w:vAlign w:val="bottom"/>
            <w:hideMark/>
          </w:tcPr>
          <w:p w:rsidR="00BF0303" w:rsidRDefault="00BF0303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41" w:type="dxa"/>
            <w:gridSpan w:val="2"/>
            <w:noWrap/>
            <w:vAlign w:val="bottom"/>
            <w:hideMark/>
          </w:tcPr>
          <w:p w:rsidR="00BF0303" w:rsidRDefault="00BF0303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41" w:type="dxa"/>
            <w:gridSpan w:val="2"/>
            <w:noWrap/>
            <w:vAlign w:val="bottom"/>
            <w:hideMark/>
          </w:tcPr>
          <w:p w:rsidR="00BF0303" w:rsidRDefault="00BF0303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41" w:type="dxa"/>
            <w:gridSpan w:val="2"/>
            <w:noWrap/>
            <w:vAlign w:val="bottom"/>
            <w:hideMark/>
          </w:tcPr>
          <w:p w:rsidR="00BF0303" w:rsidRDefault="00BF0303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468" w:type="dxa"/>
            <w:gridSpan w:val="9"/>
            <w:vAlign w:val="bottom"/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к постановлению  Администрации Михайловского района       от 11.10.2017   №  443     </w:t>
            </w:r>
          </w:p>
        </w:tc>
      </w:tr>
      <w:tr w:rsidR="00BF0303" w:rsidTr="00BF0303">
        <w:trPr>
          <w:trHeight w:val="300"/>
        </w:trPr>
        <w:tc>
          <w:tcPr>
            <w:tcW w:w="487" w:type="dxa"/>
            <w:noWrap/>
            <w:vAlign w:val="bottom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803" w:type="dxa"/>
            <w:gridSpan w:val="2"/>
            <w:noWrap/>
            <w:vAlign w:val="bottom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42" w:type="dxa"/>
            <w:gridSpan w:val="2"/>
            <w:noWrap/>
            <w:vAlign w:val="bottom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52" w:type="dxa"/>
            <w:gridSpan w:val="2"/>
            <w:noWrap/>
            <w:vAlign w:val="bottom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41" w:type="dxa"/>
            <w:gridSpan w:val="2"/>
            <w:noWrap/>
            <w:vAlign w:val="bottom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43" w:type="dxa"/>
            <w:gridSpan w:val="2"/>
            <w:noWrap/>
            <w:vAlign w:val="bottom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41" w:type="dxa"/>
            <w:gridSpan w:val="2"/>
            <w:noWrap/>
            <w:vAlign w:val="bottom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41" w:type="dxa"/>
            <w:gridSpan w:val="2"/>
            <w:noWrap/>
            <w:vAlign w:val="bottom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41" w:type="dxa"/>
            <w:gridSpan w:val="2"/>
            <w:noWrap/>
            <w:vAlign w:val="bottom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41" w:type="dxa"/>
            <w:gridSpan w:val="2"/>
            <w:noWrap/>
            <w:vAlign w:val="bottom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41" w:type="dxa"/>
            <w:gridSpan w:val="2"/>
            <w:noWrap/>
            <w:vAlign w:val="bottom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41" w:type="dxa"/>
            <w:gridSpan w:val="2"/>
            <w:noWrap/>
            <w:vAlign w:val="bottom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41" w:type="dxa"/>
            <w:gridSpan w:val="2"/>
            <w:noWrap/>
            <w:vAlign w:val="bottom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41" w:type="dxa"/>
            <w:gridSpan w:val="2"/>
            <w:noWrap/>
            <w:vAlign w:val="bottom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04" w:type="dxa"/>
            <w:noWrap/>
            <w:vAlign w:val="bottom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</w:tr>
      <w:tr w:rsidR="00BF0303" w:rsidTr="00BF0303">
        <w:trPr>
          <w:trHeight w:val="315"/>
        </w:trPr>
        <w:tc>
          <w:tcPr>
            <w:tcW w:w="15600" w:type="dxa"/>
            <w:gridSpan w:val="28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Прогноз социально-экономического развития Михайловского района на 2018-2020 годы </w:t>
            </w:r>
          </w:p>
        </w:tc>
      </w:tr>
      <w:tr w:rsidR="00BF0303" w:rsidTr="00BF0303">
        <w:trPr>
          <w:trHeight w:val="315"/>
        </w:trPr>
        <w:tc>
          <w:tcPr>
            <w:tcW w:w="2995" w:type="dxa"/>
            <w:gridSpan w:val="2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53" w:type="dxa"/>
            <w:gridSpan w:val="2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52" w:type="dxa"/>
            <w:gridSpan w:val="2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  <w:gridSpan w:val="2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324" w:type="dxa"/>
            <w:gridSpan w:val="3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41" w:type="dxa"/>
            <w:gridSpan w:val="2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41" w:type="dxa"/>
            <w:gridSpan w:val="2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41" w:type="dxa"/>
            <w:gridSpan w:val="2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41" w:type="dxa"/>
            <w:gridSpan w:val="2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41" w:type="dxa"/>
            <w:gridSpan w:val="2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41" w:type="dxa"/>
            <w:gridSpan w:val="2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41" w:type="dxa"/>
            <w:gridSpan w:val="2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04" w:type="dxa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</w:tr>
      <w:tr w:rsidR="00BF0303" w:rsidTr="00BF0303">
        <w:trPr>
          <w:trHeight w:val="31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2015г. факт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2016г. факт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полугодие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     факт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2017г. оценка</w:t>
            </w:r>
          </w:p>
        </w:tc>
        <w:tc>
          <w:tcPr>
            <w:tcW w:w="89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</w:t>
            </w:r>
          </w:p>
        </w:tc>
      </w:tr>
      <w:tr w:rsidR="00BF0303" w:rsidTr="00BF0303">
        <w:trPr>
          <w:trHeight w:val="31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2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2020г.</w:t>
            </w:r>
          </w:p>
        </w:tc>
      </w:tr>
      <w:tr w:rsidR="00BF0303" w:rsidTr="00BF0303">
        <w:trPr>
          <w:trHeight w:val="39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вариант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вариант 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вариант 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вариант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вариант 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вариант 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вариант 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вариант 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вариант 3</w:t>
            </w:r>
          </w:p>
        </w:tc>
      </w:tr>
      <w:tr w:rsidR="00BF0303" w:rsidTr="00BF0303">
        <w:trPr>
          <w:trHeight w:val="103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Среднегодовая численность постоянного населения, человек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19966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19640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19800</w:t>
            </w:r>
          </w:p>
        </w:tc>
      </w:tr>
      <w:tr w:rsidR="00BF0303" w:rsidTr="00BF0303">
        <w:trPr>
          <w:trHeight w:val="2066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303" w:rsidRDefault="00BF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отгруженных товаров собственного производства, выполненных работ, услуг собственными силами по кругу крупных и средних организаций, тыс. рублей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279531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300751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186328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372645,4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397782,5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391259,9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405736,7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423900,2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409208,2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442566,9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455062,1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426782,5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480480,4</w:t>
            </w:r>
          </w:p>
        </w:tc>
      </w:tr>
      <w:tr w:rsidR="00BF0303" w:rsidTr="00BF0303">
        <w:trPr>
          <w:trHeight w:val="15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303" w:rsidRDefault="00BF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Индекс промышленного производства по кругу крупных и средних организаций,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предыдущему году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104,3</w:t>
            </w:r>
          </w:p>
        </w:tc>
      </w:tr>
      <w:tr w:rsidR="00BF0303" w:rsidTr="00BF0303">
        <w:trPr>
          <w:trHeight w:val="94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303" w:rsidRDefault="00BF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продукции сельского хозяйства в хозяйствах всех категорий, млн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2579,9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2657,3</w:t>
            </w:r>
          </w:p>
        </w:tc>
      </w:tr>
      <w:tr w:rsidR="00BF0303" w:rsidTr="00BF0303">
        <w:trPr>
          <w:trHeight w:val="77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303" w:rsidRDefault="00BF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Индекс физического объема,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предыдущему году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101,3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</w:tr>
      <w:tr w:rsidR="00BF0303" w:rsidTr="00BF0303">
        <w:trPr>
          <w:trHeight w:val="6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303" w:rsidRDefault="00BF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Оборот розничной торговли, тыс. рублей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1308821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1386400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735960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1513949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1588677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1590252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1605997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1668747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1685317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1717036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1770206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1803576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1853574</w:t>
            </w:r>
          </w:p>
        </w:tc>
      </w:tr>
      <w:tr w:rsidR="00BF0303" w:rsidTr="00BF0303">
        <w:trPr>
          <w:trHeight w:val="9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303" w:rsidRDefault="00BF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Индекс физического объема,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предыдущему году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</w:tr>
      <w:tr w:rsidR="00BF0303" w:rsidTr="00BF0303">
        <w:trPr>
          <w:trHeight w:val="6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303" w:rsidRDefault="00BF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Оборот розничной торговли на душу населения, рублей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5462,7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6744,1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6793,6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7165,5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7263,3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7545,6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7687,9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7840,8</w:t>
            </w:r>
          </w:p>
        </w:tc>
      </w:tr>
      <w:tr w:rsidR="00BF0303" w:rsidTr="00BF0303">
        <w:trPr>
          <w:trHeight w:val="6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303" w:rsidRDefault="00BF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Оборот общественного питания, тыс. рублей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80671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91435,3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96320,7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96994,6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97757,1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102668,2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104300,2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107161,3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110401,2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113245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118589</w:t>
            </w:r>
          </w:p>
        </w:tc>
      </w:tr>
      <w:tr w:rsidR="00BF0303" w:rsidTr="00BF0303">
        <w:trPr>
          <w:trHeight w:val="12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303" w:rsidRDefault="00BF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Индекс физического объема оборота общественного питания,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предыдущему году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</w:tr>
      <w:tr w:rsidR="00BF0303" w:rsidTr="00BF0303">
        <w:trPr>
          <w:trHeight w:val="6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303" w:rsidRDefault="00BF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платных услуг населению, тыс. рублей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246399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265864,5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271181,8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279317,3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282029,1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284740,9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296130,6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301825,4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302109,6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310937,1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325971,4</w:t>
            </w:r>
          </w:p>
        </w:tc>
      </w:tr>
      <w:tr w:rsidR="00BF0303" w:rsidTr="00BF0303">
        <w:trPr>
          <w:trHeight w:val="12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303" w:rsidRDefault="00BF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Темп роста (снижения) объема платных услуг в действующих ценах,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предыдущему году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BF0303" w:rsidTr="00BF0303">
        <w:trPr>
          <w:trHeight w:val="9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303" w:rsidRDefault="00BF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платных услуг населению на душу населения, рублей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1028,4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1287,8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1325,4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1378,9</w:t>
            </w:r>
          </w:p>
        </w:tc>
      </w:tr>
      <w:tr w:rsidR="00BF0303" w:rsidTr="00BF0303">
        <w:trPr>
          <w:trHeight w:val="2056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303" w:rsidRDefault="00BF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инвестиций в основной капитал (без субъектов малого предпринимательства и объемов инвестиций, не наблюдаемых прямыми статистическими методами), млн. рублей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89,1</w:t>
            </w:r>
          </w:p>
        </w:tc>
      </w:tr>
      <w:tr w:rsidR="00BF0303" w:rsidTr="00BF0303">
        <w:trPr>
          <w:trHeight w:val="2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303" w:rsidRDefault="00BF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Индекс физического объема инвестиций (без субъектов малого предпринимательства и объемов инвестиций, не наблюдаемых прямыми статистическими методами),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предыдущему году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101,6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101,3</w:t>
            </w:r>
          </w:p>
        </w:tc>
      </w:tr>
      <w:tr w:rsidR="00BF0303" w:rsidTr="00BF0303">
        <w:trPr>
          <w:trHeight w:val="12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303" w:rsidRDefault="00BF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Среднесписочная численность работников по кругу крупных и средних организаций, человек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2890</w:t>
            </w:r>
          </w:p>
        </w:tc>
      </w:tr>
      <w:tr w:rsidR="00BF0303" w:rsidTr="00BF0303">
        <w:trPr>
          <w:trHeight w:val="15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303" w:rsidRDefault="00BF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начисленной заработной платы всех работников по кругу крупных и средних организаций, тыс. рублей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640983,5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649200,3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305456,4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656073,6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674218,8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687813,1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670131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695486,4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729077,8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684255,6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722471,4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775514,2</w:t>
            </w:r>
          </w:p>
        </w:tc>
      </w:tr>
      <w:tr w:rsidR="00BF0303" w:rsidTr="00BF0303">
        <w:trPr>
          <w:trHeight w:val="18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303" w:rsidRDefault="00BF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Среднемесячная начисленная заработная плата в расчете на одного работника по кругу крупных и средних организаций, рублей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16516,8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21735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22362</w:t>
            </w:r>
          </w:p>
        </w:tc>
      </w:tr>
      <w:tr w:rsidR="00BF0303" w:rsidTr="00BF0303">
        <w:trPr>
          <w:trHeight w:val="12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303" w:rsidRDefault="00BF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Темп роста заработной платы по кругу крупных и средних организаций,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предыдущему году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</w:tr>
      <w:tr w:rsidR="00BF0303" w:rsidTr="00BF0303">
        <w:trPr>
          <w:trHeight w:val="9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303" w:rsidRDefault="00BF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занятых в экономике (среднегодовая), человек</w:t>
            </w:r>
            <w:proofErr w:type="gramEnd"/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6272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6308</w:t>
            </w:r>
          </w:p>
        </w:tc>
      </w:tr>
      <w:tr w:rsidR="00BF0303" w:rsidTr="00BF0303">
        <w:trPr>
          <w:trHeight w:val="18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303" w:rsidRDefault="00BF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безработных, зарегистрированных в государственных учреждениях службы занятости населения (на конец периода), человек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</w:t>
            </w:r>
          </w:p>
        </w:tc>
      </w:tr>
      <w:tr w:rsidR="00BF0303" w:rsidTr="00BF0303">
        <w:trPr>
          <w:trHeight w:val="18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303" w:rsidRDefault="00BF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зарегистрированной безработицы к трудоспособному возрасту на конец отчетного периода, %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</w:tr>
      <w:tr w:rsidR="00BF0303" w:rsidTr="00BF0303">
        <w:trPr>
          <w:trHeight w:val="9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303" w:rsidRDefault="00BF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важнейших видов продукции в натуральном выражении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303" w:rsidRDefault="00BF0303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</w:tr>
      <w:tr w:rsidR="00BF0303" w:rsidTr="00BF0303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303" w:rsidRDefault="00BF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Мясо и субпродукты, тонн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</w:t>
            </w:r>
          </w:p>
        </w:tc>
      </w:tr>
      <w:tr w:rsidR="00BF0303" w:rsidTr="00BF0303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303" w:rsidRDefault="00BF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Изделия колбасные, тонн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BF0303" w:rsidTr="00BF0303">
        <w:trPr>
          <w:trHeight w:val="9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303" w:rsidRDefault="00BF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Мясные полуфабрикаты (замороженные и охлажденные), тонн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BF0303" w:rsidTr="00BF0303">
        <w:trPr>
          <w:trHeight w:val="6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303" w:rsidRDefault="00BF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и хлебобулочные изделия, тонн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</w:tr>
      <w:tr w:rsidR="00BF0303" w:rsidTr="00BF0303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303" w:rsidRDefault="00BF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Мука, тонн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</w:t>
            </w:r>
          </w:p>
        </w:tc>
      </w:tr>
      <w:tr w:rsidR="00BF0303" w:rsidTr="00BF0303">
        <w:trPr>
          <w:trHeight w:val="6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303" w:rsidRDefault="00BF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Зерновые и зернобобовые, включая кукурузу, тонн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39545,49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53805,12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46350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46970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48150</w:t>
            </w:r>
          </w:p>
        </w:tc>
      </w:tr>
      <w:tr w:rsidR="00BF0303" w:rsidTr="00BF0303">
        <w:trPr>
          <w:trHeight w:val="6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303" w:rsidRDefault="00BF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Подсолнечник   на зерно в весе после доработки, тонн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14118,3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14800</w:t>
            </w:r>
          </w:p>
        </w:tc>
      </w:tr>
      <w:tr w:rsidR="00BF0303" w:rsidTr="00BF0303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303" w:rsidRDefault="00BF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Картофель, тонн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7340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7500</w:t>
            </w:r>
          </w:p>
        </w:tc>
      </w:tr>
      <w:tr w:rsidR="00BF0303" w:rsidTr="00BF0303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303" w:rsidRDefault="00BF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Овощи, тонн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4028,6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3575,2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3740</w:t>
            </w:r>
          </w:p>
        </w:tc>
      </w:tr>
      <w:tr w:rsidR="00BF0303" w:rsidTr="00BF0303">
        <w:trPr>
          <w:trHeight w:val="6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303" w:rsidRDefault="00BF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Крупный рогатый скот, голов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13125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12980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12990</w:t>
            </w:r>
          </w:p>
        </w:tc>
      </w:tr>
      <w:tr w:rsidR="00BF0303" w:rsidTr="00BF0303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303" w:rsidRDefault="00BF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Коровы, голов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5918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5920</w:t>
            </w:r>
          </w:p>
        </w:tc>
      </w:tr>
      <w:tr w:rsidR="00BF0303" w:rsidTr="00BF0303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303" w:rsidRDefault="00BF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Свиньи, голов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6035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5070</w:t>
            </w:r>
          </w:p>
        </w:tc>
      </w:tr>
      <w:tr w:rsidR="00BF0303" w:rsidTr="00BF0303">
        <w:trPr>
          <w:trHeight w:val="6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303" w:rsidRDefault="00BF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Произведено на убой скота и птицы в живом весе, тонн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3144,3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3168</w:t>
            </w:r>
          </w:p>
        </w:tc>
      </w:tr>
      <w:tr w:rsidR="00BF0303" w:rsidTr="00BF0303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303" w:rsidRDefault="00BF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Надоено молока, тонн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21376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22496</w:t>
            </w:r>
          </w:p>
        </w:tc>
      </w:tr>
      <w:tr w:rsidR="00BF0303" w:rsidTr="00BF0303">
        <w:trPr>
          <w:trHeight w:val="9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303" w:rsidRDefault="00BF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адоено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молока на 1 корову (в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сельхозорганизациях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кг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3800</w:t>
            </w:r>
          </w:p>
        </w:tc>
      </w:tr>
      <w:tr w:rsidR="00BF0303" w:rsidTr="00BF0303">
        <w:trPr>
          <w:trHeight w:val="6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303" w:rsidRDefault="00BF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303" w:rsidRDefault="00BF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Получено яиц от всех видов птицы, тыс.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7857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303" w:rsidRDefault="00BF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7850</w:t>
            </w:r>
          </w:p>
        </w:tc>
      </w:tr>
    </w:tbl>
    <w:p w:rsidR="00BF0303" w:rsidRDefault="00BF0303" w:rsidP="00BF0303"/>
    <w:p w:rsidR="00BF0303" w:rsidRDefault="00BF0303" w:rsidP="00BF0303"/>
    <w:p w:rsidR="00BF0303" w:rsidRDefault="00BF0303" w:rsidP="00BF0303"/>
    <w:p w:rsidR="00BF0303" w:rsidRDefault="00BF0303" w:rsidP="00BF0303"/>
    <w:p w:rsidR="00BF0303" w:rsidRDefault="00BF0303" w:rsidP="00BF0303"/>
    <w:p w:rsidR="00BF0303" w:rsidRDefault="00BF0303" w:rsidP="00BF0303"/>
    <w:p w:rsidR="00BF0303" w:rsidRDefault="00BF0303" w:rsidP="00BF0303"/>
    <w:p w:rsidR="00BF0303" w:rsidRDefault="00BF0303" w:rsidP="00BF0303"/>
    <w:p w:rsidR="00BF0303" w:rsidRDefault="00BF0303" w:rsidP="00BF0303"/>
    <w:p w:rsidR="00BF0303" w:rsidRDefault="00BF0303" w:rsidP="00BF0303"/>
    <w:p w:rsidR="00BF0303" w:rsidRDefault="00BF0303" w:rsidP="00BF0303"/>
    <w:p w:rsidR="00BF0303" w:rsidRDefault="00BF0303" w:rsidP="00BF0303">
      <w:pPr>
        <w:sectPr w:rsidR="00BF0303" w:rsidSect="00BF0303">
          <w:pgSz w:w="16838" w:h="11906" w:orient="landscape"/>
          <w:pgMar w:top="1276" w:right="851" w:bottom="851" w:left="851" w:header="709" w:footer="709" w:gutter="0"/>
          <w:cols w:space="708"/>
          <w:docGrid w:linePitch="360"/>
        </w:sectPr>
      </w:pPr>
    </w:p>
    <w:p w:rsidR="00BF0303" w:rsidRPr="00BF0303" w:rsidRDefault="00BF0303" w:rsidP="00BF030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F0303">
        <w:rPr>
          <w:rFonts w:ascii="Times New Roman" w:hAnsi="Times New Roman" w:cs="Times New Roman"/>
          <w:b/>
          <w:sz w:val="30"/>
          <w:szCs w:val="30"/>
        </w:rPr>
        <w:lastRenderedPageBreak/>
        <w:t>Пояснительная записка к прогнозу социально-экономического развития Михайловского района  на 2018-2020 годы</w:t>
      </w:r>
    </w:p>
    <w:p w:rsidR="00BF0303" w:rsidRPr="00BF0303" w:rsidRDefault="00BF0303" w:rsidP="00BF0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303" w:rsidRPr="00BF0303" w:rsidRDefault="00BF0303" w:rsidP="00BF0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0303">
        <w:rPr>
          <w:rFonts w:ascii="Times New Roman" w:hAnsi="Times New Roman" w:cs="Times New Roman"/>
          <w:b/>
          <w:sz w:val="28"/>
          <w:szCs w:val="28"/>
          <w:u w:val="single"/>
        </w:rPr>
        <w:t>Общая оценка социально – экономической ситуации в районе за отчетный период.</w:t>
      </w:r>
    </w:p>
    <w:p w:rsidR="00BF0303" w:rsidRPr="00BF0303" w:rsidRDefault="00BF0303" w:rsidP="00BF03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ab/>
        <w:t xml:space="preserve">В отчетном периоде в районе экономическая ситуация стабилизировалась. В 2014-2015  годах в промышленном производстве района наблюдался значительный  спад производства, </w:t>
      </w:r>
      <w:proofErr w:type="gramStart"/>
      <w:r w:rsidRPr="00BF0303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BF0303">
        <w:rPr>
          <w:rFonts w:ascii="Times New Roman" w:hAnsi="Times New Roman" w:cs="Times New Roman"/>
          <w:sz w:val="28"/>
          <w:szCs w:val="28"/>
        </w:rPr>
        <w:t xml:space="preserve"> 2015 года индекс промышленного производства по кругу крупных и средних организаций составил 63,5 % к предыдущему году. Причина спада производства стала: приостановка деятельности  и снижение объемов производства на основных и базовых предприятиях района (ООО «</w:t>
      </w:r>
      <w:proofErr w:type="spellStart"/>
      <w:r w:rsidRPr="00BF0303">
        <w:rPr>
          <w:rFonts w:ascii="Times New Roman" w:hAnsi="Times New Roman" w:cs="Times New Roman"/>
          <w:sz w:val="28"/>
          <w:szCs w:val="28"/>
        </w:rPr>
        <w:t>Алтайсода</w:t>
      </w:r>
      <w:proofErr w:type="spellEnd"/>
      <w:r w:rsidRPr="00BF0303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BF0303"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 w:rsidRPr="00BF0303">
        <w:rPr>
          <w:rFonts w:ascii="Times New Roman" w:hAnsi="Times New Roman" w:cs="Times New Roman"/>
          <w:sz w:val="28"/>
          <w:szCs w:val="28"/>
        </w:rPr>
        <w:t xml:space="preserve"> зерноперерабатывающий комбинат», ООО «Лес-Сервис», ООО «</w:t>
      </w:r>
      <w:proofErr w:type="spellStart"/>
      <w:r w:rsidRPr="00BF0303">
        <w:rPr>
          <w:rFonts w:ascii="Times New Roman" w:hAnsi="Times New Roman" w:cs="Times New Roman"/>
          <w:sz w:val="28"/>
          <w:szCs w:val="28"/>
        </w:rPr>
        <w:t>Алтаймястрейд</w:t>
      </w:r>
      <w:proofErr w:type="spellEnd"/>
      <w:r w:rsidRPr="00BF0303">
        <w:rPr>
          <w:rFonts w:ascii="Times New Roman" w:hAnsi="Times New Roman" w:cs="Times New Roman"/>
          <w:sz w:val="28"/>
          <w:szCs w:val="28"/>
        </w:rPr>
        <w:t xml:space="preserve">»). Сдерживание роста тарифов на </w:t>
      </w:r>
      <w:proofErr w:type="spellStart"/>
      <w:proofErr w:type="gramStart"/>
      <w:r w:rsidRPr="00BF0303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BF0303">
        <w:rPr>
          <w:rFonts w:ascii="Times New Roman" w:hAnsi="Times New Roman" w:cs="Times New Roman"/>
          <w:sz w:val="28"/>
          <w:szCs w:val="28"/>
        </w:rPr>
        <w:t xml:space="preserve"> – коммунальные</w:t>
      </w:r>
      <w:proofErr w:type="gramEnd"/>
      <w:r w:rsidRPr="00BF0303">
        <w:rPr>
          <w:rFonts w:ascii="Times New Roman" w:hAnsi="Times New Roman" w:cs="Times New Roman"/>
          <w:sz w:val="28"/>
          <w:szCs w:val="28"/>
        </w:rPr>
        <w:t xml:space="preserve"> услуги привело к убыточности предприятий ЖКХ. </w:t>
      </w: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 xml:space="preserve">В 2016 году экономическая ситуация в промышленности стабилизировалась, индекс промышленного  производства составил 104,1 %, за истекший период 2017 года наблюдается рост промышленного производства, ожидаемый индекс промышленного производства на конец года составит 112 %.  </w:t>
      </w: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F0303">
        <w:rPr>
          <w:rFonts w:ascii="Times New Roman" w:hAnsi="Times New Roman" w:cs="Times New Roman"/>
          <w:sz w:val="28"/>
          <w:szCs w:val="28"/>
        </w:rPr>
        <w:t xml:space="preserve"> В малом бизнесе продолжается снижение численности.  На поддержку малого бизнеса направлены различные меры  государственной поддержки, район активно участвует в действующих программах.</w:t>
      </w:r>
      <w:r w:rsidRPr="00BF030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F0303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BF0303">
        <w:rPr>
          <w:rFonts w:ascii="Times New Roman" w:hAnsi="Times New Roman" w:cs="Times New Roman"/>
          <w:sz w:val="28"/>
          <w:szCs w:val="28"/>
        </w:rPr>
        <w:t xml:space="preserve"> 2 года растет инвестиционная  активность. В основном средства направляются на приобретение техники и оборудования. </w:t>
      </w:r>
    </w:p>
    <w:p w:rsidR="00BF0303" w:rsidRPr="00BF0303" w:rsidRDefault="00BF0303" w:rsidP="00BF0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ab/>
        <w:t xml:space="preserve">До 2016 года наблюдался значительный отток  населения из района, в том числе трудоспособного. В 2016 году темп убыли населения за счет миграции снизился, за полугодие 2017 года миграционный прирост составил 54 человека. </w:t>
      </w: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 xml:space="preserve">В настоящее время экономика района сохраняет социальную направленность. С 2011 по 2016 год произведен капитальный ремонт  детских садов. Открыты дополнительные группы  на 245 мест.  Обеспеченность местами в детских садах детей в возрасте от 3 до 6 лет составила 100 %. Произведены ремонты в общеобразовательных учреждениях, школы обеспечены новейшим оборудованием,  электронно-образовательными ресурсами, технологическим оборудованием для школьных столовых, приобретена новая мебель. Развитие социальной сферы продолжится и в прогнозном периоде. В 2018 году планируется реконструкция здания спорткомплекса лицея, 5 млн. рублей. В 2019 году планируется капитальный ремонт Михайловской средней школы № 1, который позволит организовать учебный процесс в одну смену, стоимость проекта около 200 млн. рублей, а так же начать строительство школы в р.п. Малиновое Озеро на 360 мест.  В результате участия в конкурсе на </w:t>
      </w:r>
      <w:proofErr w:type="spellStart"/>
      <w:r w:rsidRPr="00BF0303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BF0303">
        <w:rPr>
          <w:rFonts w:ascii="Times New Roman" w:hAnsi="Times New Roman" w:cs="Times New Roman"/>
          <w:sz w:val="28"/>
          <w:szCs w:val="28"/>
        </w:rPr>
        <w:t xml:space="preserve"> поддержку по программе «Устойчивое развитие сельских территорий на 2014 - 2017 годы и на период до 2020 года» построены спортивные объекты, детская площадка в парке с. Михайловское, зона отдыха в с</w:t>
      </w:r>
      <w:proofErr w:type="gramStart"/>
      <w:r w:rsidRPr="00BF030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F0303">
        <w:rPr>
          <w:rFonts w:ascii="Times New Roman" w:hAnsi="Times New Roman" w:cs="Times New Roman"/>
          <w:sz w:val="28"/>
          <w:szCs w:val="28"/>
        </w:rPr>
        <w:t xml:space="preserve">акиты, проведена реконструкция  водопровода в с. Михайловское Планируется дальнейшее участие в конкурсе на получение гранта на поддержку местных инициатив.  </w:t>
      </w:r>
      <w:r w:rsidRPr="00BF0303">
        <w:rPr>
          <w:rFonts w:ascii="Times New Roman" w:hAnsi="Times New Roman" w:cs="Times New Roman"/>
          <w:sz w:val="28"/>
          <w:szCs w:val="28"/>
        </w:rPr>
        <w:lastRenderedPageBreak/>
        <w:t xml:space="preserve">Большое внимание уделяется благоустройству района. Развитие социальной сферы района – это позитивная составляющая, но содержание ее требует больших затрат.  За 2016 год в расходах консолидированного бюджета района расходы на содержание социальной сферы составили 85,8 %, из них 72,2 % на образование.  Следовательно, на исполнение других полномочий района  средств недостаточно. </w:t>
      </w: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>Стабильно развивается отрасль торговли, объем товарооборота ежегодно возрастает. В 2016 году за счет высокого уровня инфляции индекс  физического объема к предыдущему году составил 98,7 %, снизилась обеспеченность населения торговыми площадями и составила 539,5  кв.м. на 1000 человек населения. Уменьшение указанных  показателей не повлияло на положительную динамику роста объема товарооборота.  По итогам  1 полугодия 2017 года индекс физического объема составил 103,5 %. В 2017 году начато строительство крупного торгового объекта площадью 1200 кв.м., ввод которого позволит увеличить обеспеченность населения торговыми площадями, увеличить товарооборот и создать 30 новых рабочих ме</w:t>
      </w:r>
      <w:proofErr w:type="gramStart"/>
      <w:r w:rsidRPr="00BF0303">
        <w:rPr>
          <w:rFonts w:ascii="Times New Roman" w:hAnsi="Times New Roman" w:cs="Times New Roman"/>
          <w:sz w:val="28"/>
          <w:szCs w:val="28"/>
        </w:rPr>
        <w:t>ст в сф</w:t>
      </w:r>
      <w:proofErr w:type="gramEnd"/>
      <w:r w:rsidRPr="00BF0303">
        <w:rPr>
          <w:rFonts w:ascii="Times New Roman" w:hAnsi="Times New Roman" w:cs="Times New Roman"/>
          <w:sz w:val="28"/>
          <w:szCs w:val="28"/>
        </w:rPr>
        <w:t xml:space="preserve">ере торговли. Развиваются объекты общественного питания и сферы услуг, в основном за счет развития предпринимательской деятельности.  Субъекты предпринимательства осваивают новые ниши в экономике района, увеличивается производство и ассортимент хлеба и хлебобулочных изделий, мясных полуфабрикатов, мебели, строительных материалов (тротуарной притки). Но объемы  производства продукции субъектами малого бизнеса </w:t>
      </w:r>
      <w:proofErr w:type="gramStart"/>
      <w:r w:rsidRPr="00BF0303">
        <w:rPr>
          <w:rFonts w:ascii="Times New Roman" w:hAnsi="Times New Roman" w:cs="Times New Roman"/>
          <w:sz w:val="28"/>
          <w:szCs w:val="28"/>
        </w:rPr>
        <w:t>не сравнимы</w:t>
      </w:r>
      <w:proofErr w:type="gramEnd"/>
      <w:r w:rsidRPr="00BF0303">
        <w:rPr>
          <w:rFonts w:ascii="Times New Roman" w:hAnsi="Times New Roman" w:cs="Times New Roman"/>
          <w:sz w:val="28"/>
          <w:szCs w:val="28"/>
        </w:rPr>
        <w:t xml:space="preserve"> с производством крупных предприятий района, которые в настоящее время испытывают экономические трудности. </w:t>
      </w: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 xml:space="preserve">Сохраняет свои позиции в экономике района производство сельскохозяйственной продукции, растет число крестьянских – фермерских хозяйств. </w:t>
      </w:r>
      <w:proofErr w:type="gramStart"/>
      <w:r w:rsidRPr="00BF0303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BF0303">
        <w:rPr>
          <w:rFonts w:ascii="Times New Roman" w:hAnsi="Times New Roman" w:cs="Times New Roman"/>
          <w:sz w:val="28"/>
          <w:szCs w:val="28"/>
        </w:rPr>
        <w:t xml:space="preserve"> несомненно позитивный фактор в экономике района.</w:t>
      </w:r>
    </w:p>
    <w:p w:rsidR="00BF0303" w:rsidRPr="00BF0303" w:rsidRDefault="00BF0303" w:rsidP="00BF0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0303" w:rsidRPr="00BF0303" w:rsidRDefault="00BF0303" w:rsidP="00BF0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0303">
        <w:rPr>
          <w:rFonts w:ascii="Times New Roman" w:hAnsi="Times New Roman" w:cs="Times New Roman"/>
          <w:b/>
          <w:sz w:val="28"/>
          <w:szCs w:val="28"/>
          <w:u w:val="single"/>
        </w:rPr>
        <w:t>1. Промышленное производство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>Производством промышленной продукции занимаются из крупных предприятий: Филиал ООО «Михайловский завод химических реактивов» (химическое производство), ООО «Лес Сервис» (заготовка, обработка древесины). Приостановили деятельность крупное предприятие ООО «</w:t>
      </w:r>
      <w:proofErr w:type="spellStart"/>
      <w:r w:rsidRPr="00BF0303"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 w:rsidRPr="00BF0303">
        <w:rPr>
          <w:rFonts w:ascii="Times New Roman" w:hAnsi="Times New Roman" w:cs="Times New Roman"/>
          <w:sz w:val="28"/>
          <w:szCs w:val="28"/>
        </w:rPr>
        <w:t xml:space="preserve"> зерноперерабатывающий комбинат» (производство муки, крупы) и  предприятие по добыче соды-сырца, ООО «</w:t>
      </w:r>
      <w:proofErr w:type="spellStart"/>
      <w:r w:rsidRPr="00BF0303">
        <w:rPr>
          <w:rFonts w:ascii="Times New Roman" w:hAnsi="Times New Roman" w:cs="Times New Roman"/>
          <w:sz w:val="28"/>
          <w:szCs w:val="28"/>
        </w:rPr>
        <w:t>Алтайсода</w:t>
      </w:r>
      <w:proofErr w:type="spellEnd"/>
      <w:r w:rsidRPr="00BF0303">
        <w:rPr>
          <w:rFonts w:ascii="Times New Roman" w:hAnsi="Times New Roman" w:cs="Times New Roman"/>
          <w:sz w:val="28"/>
          <w:szCs w:val="28"/>
        </w:rPr>
        <w:t xml:space="preserve">», ООО «Лес Сервис» значительно снизили объемы производства, в результате индекс промышленного производства снизился и в 2015 году составил 63,5 %.  </w:t>
      </w: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>В 2016 году наблюдается рост производства промышленной продукции. Интенсивно наращивают объем производства Филиал ООО «Михайловский завод химических реактивов». В районе открылось  новое предприятие ООО «</w:t>
      </w:r>
      <w:proofErr w:type="spellStart"/>
      <w:r w:rsidRPr="00BF0303">
        <w:rPr>
          <w:rFonts w:ascii="Times New Roman" w:hAnsi="Times New Roman" w:cs="Times New Roman"/>
          <w:sz w:val="28"/>
          <w:szCs w:val="28"/>
        </w:rPr>
        <w:t>Алтайзернопродукт</w:t>
      </w:r>
      <w:proofErr w:type="spellEnd"/>
      <w:r w:rsidRPr="00BF0303">
        <w:rPr>
          <w:rFonts w:ascii="Times New Roman" w:hAnsi="Times New Roman" w:cs="Times New Roman"/>
          <w:sz w:val="28"/>
          <w:szCs w:val="28"/>
        </w:rPr>
        <w:t>», за счет которого возобновилось производство муки. По итогам полугодия 2017 года наращивают производство продукции ПО «</w:t>
      </w:r>
      <w:proofErr w:type="spellStart"/>
      <w:r w:rsidRPr="00BF0303">
        <w:rPr>
          <w:rFonts w:ascii="Times New Roman" w:hAnsi="Times New Roman" w:cs="Times New Roman"/>
          <w:sz w:val="28"/>
          <w:szCs w:val="28"/>
        </w:rPr>
        <w:t>Межрайпо</w:t>
      </w:r>
      <w:proofErr w:type="spellEnd"/>
      <w:r w:rsidRPr="00BF0303">
        <w:rPr>
          <w:rFonts w:ascii="Times New Roman" w:hAnsi="Times New Roman" w:cs="Times New Roman"/>
          <w:sz w:val="28"/>
          <w:szCs w:val="28"/>
        </w:rPr>
        <w:t xml:space="preserve"> (производство мясных полуфабрикатов, хлеба, хлебобулочных, кондитерских изделий), индивидуальные предприниматели </w:t>
      </w:r>
      <w:proofErr w:type="spellStart"/>
      <w:r w:rsidRPr="00BF0303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Pr="00BF0303">
        <w:rPr>
          <w:rFonts w:ascii="Times New Roman" w:hAnsi="Times New Roman" w:cs="Times New Roman"/>
          <w:sz w:val="28"/>
          <w:szCs w:val="28"/>
        </w:rPr>
        <w:t xml:space="preserve"> Т.Ю., </w:t>
      </w:r>
      <w:proofErr w:type="spellStart"/>
      <w:r w:rsidRPr="00BF0303">
        <w:rPr>
          <w:rFonts w:ascii="Times New Roman" w:hAnsi="Times New Roman" w:cs="Times New Roman"/>
          <w:sz w:val="28"/>
          <w:szCs w:val="28"/>
        </w:rPr>
        <w:t>Толочкин</w:t>
      </w:r>
      <w:proofErr w:type="spellEnd"/>
      <w:r w:rsidRPr="00BF0303">
        <w:rPr>
          <w:rFonts w:ascii="Times New Roman" w:hAnsi="Times New Roman" w:cs="Times New Roman"/>
          <w:sz w:val="28"/>
          <w:szCs w:val="28"/>
        </w:rPr>
        <w:t xml:space="preserve"> А.С., (производство мясных полуфабрикатов и колбасных изделий), </w:t>
      </w:r>
      <w:proofErr w:type="spellStart"/>
      <w:r w:rsidRPr="00BF0303">
        <w:rPr>
          <w:rFonts w:ascii="Times New Roman" w:hAnsi="Times New Roman" w:cs="Times New Roman"/>
          <w:sz w:val="28"/>
          <w:szCs w:val="28"/>
        </w:rPr>
        <w:t>Зикратова</w:t>
      </w:r>
      <w:proofErr w:type="spellEnd"/>
      <w:r w:rsidRPr="00BF0303">
        <w:rPr>
          <w:rFonts w:ascii="Times New Roman" w:hAnsi="Times New Roman" w:cs="Times New Roman"/>
          <w:sz w:val="28"/>
          <w:szCs w:val="28"/>
        </w:rPr>
        <w:t xml:space="preserve"> Т.А., Поцелуев Н.В. (производство хлеба, хлебобулочных изделий), Меркулов В.М. (производство мебели). Открыто новое предприятие ООО </w:t>
      </w:r>
      <w:r w:rsidRPr="00BF0303">
        <w:rPr>
          <w:rFonts w:ascii="Times New Roman" w:hAnsi="Times New Roman" w:cs="Times New Roman"/>
          <w:sz w:val="28"/>
          <w:szCs w:val="28"/>
        </w:rPr>
        <w:lastRenderedPageBreak/>
        <w:t xml:space="preserve">«Михайловский содовый комбинат», который начал заниматься добычей рачков </w:t>
      </w:r>
      <w:proofErr w:type="spellStart"/>
      <w:r w:rsidRPr="00BF0303">
        <w:rPr>
          <w:rFonts w:ascii="Times New Roman" w:hAnsi="Times New Roman" w:cs="Times New Roman"/>
          <w:sz w:val="28"/>
          <w:szCs w:val="28"/>
        </w:rPr>
        <w:t>Артемии</w:t>
      </w:r>
      <w:proofErr w:type="spellEnd"/>
      <w:r w:rsidRPr="00BF0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303">
        <w:rPr>
          <w:rFonts w:ascii="Times New Roman" w:hAnsi="Times New Roman" w:cs="Times New Roman"/>
          <w:sz w:val="28"/>
          <w:szCs w:val="28"/>
        </w:rPr>
        <w:t>Салины</w:t>
      </w:r>
      <w:proofErr w:type="spellEnd"/>
      <w:r w:rsidRPr="00BF0303">
        <w:rPr>
          <w:rFonts w:ascii="Times New Roman" w:hAnsi="Times New Roman" w:cs="Times New Roman"/>
          <w:sz w:val="28"/>
          <w:szCs w:val="28"/>
        </w:rPr>
        <w:t>. Однако  объемы производства малых предприятий несравнимы с объемами производства приостановивших деятельность предприятий.</w:t>
      </w: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 xml:space="preserve">По оценке статистических данных полугодия 2017 года снижения производства промышленной продукции не ожидается, но и предпосылок для значительного роста в прогнозном периоде нет.  </w:t>
      </w: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>На трехлетний период прогнозируется стабильное  производство пищевых полуфабрикатов (ООО «</w:t>
      </w:r>
      <w:proofErr w:type="spellStart"/>
      <w:r w:rsidRPr="00BF0303">
        <w:rPr>
          <w:rFonts w:ascii="Times New Roman" w:hAnsi="Times New Roman" w:cs="Times New Roman"/>
          <w:sz w:val="28"/>
          <w:szCs w:val="28"/>
        </w:rPr>
        <w:t>Алтаймястрейд</w:t>
      </w:r>
      <w:proofErr w:type="spellEnd"/>
      <w:r w:rsidRPr="00BF0303">
        <w:rPr>
          <w:rFonts w:ascii="Times New Roman" w:hAnsi="Times New Roman" w:cs="Times New Roman"/>
          <w:sz w:val="28"/>
          <w:szCs w:val="28"/>
        </w:rPr>
        <w:t xml:space="preserve">», ПО </w:t>
      </w:r>
      <w:proofErr w:type="spellStart"/>
      <w:r w:rsidRPr="00BF0303">
        <w:rPr>
          <w:rFonts w:ascii="Times New Roman" w:hAnsi="Times New Roman" w:cs="Times New Roman"/>
          <w:sz w:val="28"/>
          <w:szCs w:val="28"/>
        </w:rPr>
        <w:t>Межрайпо</w:t>
      </w:r>
      <w:proofErr w:type="spellEnd"/>
      <w:r w:rsidRPr="00BF0303">
        <w:rPr>
          <w:rFonts w:ascii="Times New Roman" w:hAnsi="Times New Roman" w:cs="Times New Roman"/>
          <w:sz w:val="28"/>
          <w:szCs w:val="28"/>
        </w:rPr>
        <w:t>), продукции химического производства (ООО «</w:t>
      </w:r>
      <w:proofErr w:type="spellStart"/>
      <w:r w:rsidRPr="00BF0303">
        <w:rPr>
          <w:rFonts w:ascii="Times New Roman" w:hAnsi="Times New Roman" w:cs="Times New Roman"/>
          <w:sz w:val="28"/>
          <w:szCs w:val="28"/>
        </w:rPr>
        <w:t>Химпром</w:t>
      </w:r>
      <w:proofErr w:type="spellEnd"/>
      <w:r w:rsidRPr="00BF0303">
        <w:rPr>
          <w:rFonts w:ascii="Times New Roman" w:hAnsi="Times New Roman" w:cs="Times New Roman"/>
          <w:sz w:val="28"/>
          <w:szCs w:val="28"/>
        </w:rPr>
        <w:t>, Филиал ООО «Михайловский завод химических реактивов»»), хлеба, хлебобулочных, кондитерских изделий, мебели (индивидуальными предпринимателями) за счет загрузки имеющихся производственных мощностей.</w:t>
      </w: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0303" w:rsidRPr="00BF0303" w:rsidRDefault="00BF0303" w:rsidP="00BF0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0303">
        <w:rPr>
          <w:rFonts w:ascii="Times New Roman" w:hAnsi="Times New Roman" w:cs="Times New Roman"/>
          <w:b/>
          <w:sz w:val="28"/>
          <w:szCs w:val="28"/>
          <w:u w:val="single"/>
        </w:rPr>
        <w:t>2. Сельское хозяйство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>Стабильно развивается и технически обновляется сельское хозяйство. Принята муниципальная программа «Развитие сельского хозяйства  Михайловского района Алтайского края»  на 2015-2020 годы, которая ставит своей целью: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>-развитие растениеводства, повышения урожайности сельскохозяйственных культур за счет эффективности использования земельных и других сельскохозяйственных ресурсов, модернизации, внедрения инновационных технологий;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>- развитие животноводства за счет повышения продуктивности скота;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>-поддержку создания и развития малых форм хозяйствования.</w:t>
      </w: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 xml:space="preserve">Основной отраслью сельского хозяйства является растениеводство,  выращивание зерновых, зернобобовых культур, подсолнечника и овощных культур. Посевные площади составляют 81311 гектар. </w:t>
      </w: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 xml:space="preserve">Район находится в зоне рискованного земледелия, во многом результаты работы сельскохозяйственных предприятий зависят от погодных условий и от рыночных цен на сельскохозяйственную продукцию. В 2015 году урожайность зерновых и зернобобовых составила 7,7 </w:t>
      </w:r>
      <w:proofErr w:type="spellStart"/>
      <w:r w:rsidRPr="00BF0303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BF0303">
        <w:rPr>
          <w:rFonts w:ascii="Times New Roman" w:hAnsi="Times New Roman" w:cs="Times New Roman"/>
          <w:sz w:val="28"/>
          <w:szCs w:val="28"/>
        </w:rPr>
        <w:t xml:space="preserve">/га., </w:t>
      </w:r>
      <w:proofErr w:type="spellStart"/>
      <w:r w:rsidRPr="00BF0303">
        <w:rPr>
          <w:rFonts w:ascii="Times New Roman" w:hAnsi="Times New Roman" w:cs="Times New Roman"/>
          <w:sz w:val="28"/>
          <w:szCs w:val="28"/>
        </w:rPr>
        <w:t>маслосемян</w:t>
      </w:r>
      <w:proofErr w:type="spellEnd"/>
      <w:r w:rsidRPr="00BF0303">
        <w:rPr>
          <w:rFonts w:ascii="Times New Roman" w:hAnsi="Times New Roman" w:cs="Times New Roman"/>
          <w:sz w:val="28"/>
          <w:szCs w:val="28"/>
        </w:rPr>
        <w:t xml:space="preserve"> подсолнечника 9,2 </w:t>
      </w:r>
      <w:proofErr w:type="spellStart"/>
      <w:r w:rsidRPr="00BF0303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BF0303">
        <w:rPr>
          <w:rFonts w:ascii="Times New Roman" w:hAnsi="Times New Roman" w:cs="Times New Roman"/>
          <w:sz w:val="28"/>
          <w:szCs w:val="28"/>
        </w:rPr>
        <w:t xml:space="preserve">/га., в 2016году урожайность составила соответственно - 11,9 </w:t>
      </w:r>
      <w:proofErr w:type="spellStart"/>
      <w:r w:rsidRPr="00BF0303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BF0303">
        <w:rPr>
          <w:rFonts w:ascii="Times New Roman" w:hAnsi="Times New Roman" w:cs="Times New Roman"/>
          <w:sz w:val="28"/>
          <w:szCs w:val="28"/>
        </w:rPr>
        <w:t>/га</w:t>
      </w:r>
      <w:proofErr w:type="gramStart"/>
      <w:r w:rsidRPr="00BF03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03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030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F0303">
        <w:rPr>
          <w:rFonts w:ascii="Times New Roman" w:hAnsi="Times New Roman" w:cs="Times New Roman"/>
          <w:sz w:val="28"/>
          <w:szCs w:val="28"/>
        </w:rPr>
        <w:t xml:space="preserve">  8,5 </w:t>
      </w:r>
      <w:proofErr w:type="spellStart"/>
      <w:r w:rsidRPr="00BF0303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BF0303">
        <w:rPr>
          <w:rFonts w:ascii="Times New Roman" w:hAnsi="Times New Roman" w:cs="Times New Roman"/>
          <w:sz w:val="28"/>
          <w:szCs w:val="28"/>
        </w:rPr>
        <w:t xml:space="preserve">/га. Для увеличения урожайности ежегодно </w:t>
      </w:r>
      <w:proofErr w:type="spellStart"/>
      <w:r w:rsidRPr="00BF0303">
        <w:rPr>
          <w:rFonts w:ascii="Times New Roman" w:hAnsi="Times New Roman" w:cs="Times New Roman"/>
          <w:sz w:val="28"/>
          <w:szCs w:val="28"/>
        </w:rPr>
        <w:t>сельхозтоваропроизводителями</w:t>
      </w:r>
      <w:proofErr w:type="spellEnd"/>
      <w:r w:rsidRPr="00BF0303">
        <w:rPr>
          <w:rFonts w:ascii="Times New Roman" w:hAnsi="Times New Roman" w:cs="Times New Roman"/>
          <w:sz w:val="28"/>
          <w:szCs w:val="28"/>
        </w:rPr>
        <w:t xml:space="preserve"> района закупаются элитные семена с/</w:t>
      </w:r>
      <w:proofErr w:type="spellStart"/>
      <w:r w:rsidRPr="00BF030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F0303">
        <w:rPr>
          <w:rFonts w:ascii="Times New Roman" w:hAnsi="Times New Roman" w:cs="Times New Roman"/>
          <w:sz w:val="28"/>
          <w:szCs w:val="28"/>
        </w:rPr>
        <w:t xml:space="preserve"> культур. Планируется на площади более 2000 га проводить гербицидные обработки посевов против вредителей и сорняков. Для повышения плодородия почвы вносится  более 1,8 тыс</w:t>
      </w:r>
      <w:proofErr w:type="gramStart"/>
      <w:r w:rsidRPr="00BF030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F0303">
        <w:rPr>
          <w:rFonts w:ascii="Times New Roman" w:hAnsi="Times New Roman" w:cs="Times New Roman"/>
          <w:sz w:val="28"/>
          <w:szCs w:val="28"/>
        </w:rPr>
        <w:t xml:space="preserve">онн минеральных удобрений. </w:t>
      </w: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 xml:space="preserve">В отрасли животноводства в 2016 году численность поголовья крупного рогатого скота снизилась. Численность дойного стада уменьшилась на 300 голов и составила 5913 голов. Всего численность крупного рогатого скота за 2016 год составила 12960, свиней 6036 голов. В прогнозном периоде планируется сохранить поголовье крупного рогатого скота.  По оценке статистических данных за полугодие  2017 года поголовье свиней уменьшится.   </w:t>
      </w: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 xml:space="preserve">Проводится работа по заготовке запасов грубых и сочных кормов для содержания КРС в зимний период. Хозяйства ежегодно успешно проводят </w:t>
      </w:r>
      <w:r w:rsidRPr="00BF0303">
        <w:rPr>
          <w:rFonts w:ascii="Times New Roman" w:hAnsi="Times New Roman" w:cs="Times New Roman"/>
          <w:sz w:val="28"/>
          <w:szCs w:val="28"/>
        </w:rPr>
        <w:lastRenderedPageBreak/>
        <w:t>подготовку животноводческих помещений к зимовке скота, модернизацию и реконструкцию животноводческих помещений.</w:t>
      </w: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 xml:space="preserve">Значительные средства направляются на модернизацию  отрасли.  В 2016 году инвестиции на приобретение техники и оборудования составили 242 млн. рублей, в прогнозном периоде  обновление сельскохозяйственной техники и оборудования  хозяйства продолжится.  </w:t>
      </w: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 xml:space="preserve">Несмотря на трудности, снижение производства продукции сельского хозяйства  не прогнозируется. </w:t>
      </w: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>Проводимые мероприятия и благоприятные погодные условия позволяют прогнозировать объем валовой продукции сельского хозяйства на  2018 - 2020 годы  в сумме 2293 - 2476 млн</w:t>
      </w:r>
      <w:proofErr w:type="gramStart"/>
      <w:r w:rsidRPr="00BF030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F0303">
        <w:rPr>
          <w:rFonts w:ascii="Times New Roman" w:hAnsi="Times New Roman" w:cs="Times New Roman"/>
          <w:sz w:val="28"/>
          <w:szCs w:val="28"/>
        </w:rPr>
        <w:t xml:space="preserve">ублей, а при более благоприятных условиях – 2354-2657 млн.рублей. </w:t>
      </w: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>Принятые меры увеличат рентабельность сельскохозяйственной отрасли и  размер балансовой прибыли к концу прогнозируемого периода в среднем за год до 230 млн</w:t>
      </w:r>
      <w:proofErr w:type="gramStart"/>
      <w:r w:rsidRPr="00BF030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F0303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 xml:space="preserve">В прогнозируемом периоде особое внимание будет уделяться развитию малых форм хозяйствования. В 2015-2016 году в результате участия в программах «Поддержка начинающих фермеров в Алтайском крае» на 2015-2017 годы  и «Поддержка семейных животноводческих ферм» в районе получили </w:t>
      </w:r>
      <w:proofErr w:type="spellStart"/>
      <w:r w:rsidRPr="00BF0303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BF0303">
        <w:rPr>
          <w:rFonts w:ascii="Times New Roman" w:hAnsi="Times New Roman" w:cs="Times New Roman"/>
          <w:sz w:val="28"/>
          <w:szCs w:val="28"/>
        </w:rPr>
        <w:t xml:space="preserve"> поддержку 7 начинающих фермеров и 1 семейная ферма. В 1 полугодии 2017 года получил </w:t>
      </w:r>
      <w:proofErr w:type="spellStart"/>
      <w:r w:rsidRPr="00BF0303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BF0303">
        <w:rPr>
          <w:rFonts w:ascii="Times New Roman" w:hAnsi="Times New Roman" w:cs="Times New Roman"/>
          <w:sz w:val="28"/>
          <w:szCs w:val="28"/>
        </w:rPr>
        <w:t xml:space="preserve"> поддержку 1 субъект (КФХ) в сумме 2 млн. рублей. Полученные средства направлены на реконструкцию животноводческих ферм, приобретение молочного оборудования, увеличение маточного поголовья крупного рогатого скота. Получено за период  2015, 2016 и полугодие 2017 года 17 млн. рублей. Суммарная стоимость указанных инвестиционных проектов составила более 21 млн. рублей.</w:t>
      </w: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 xml:space="preserve">Достижение прогнозных показателей  в значительной степени зависит от государственной поддержки </w:t>
      </w:r>
      <w:proofErr w:type="spellStart"/>
      <w:r w:rsidRPr="00BF0303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BF0303">
        <w:rPr>
          <w:rFonts w:ascii="Times New Roman" w:hAnsi="Times New Roman" w:cs="Times New Roman"/>
          <w:sz w:val="28"/>
          <w:szCs w:val="28"/>
        </w:rPr>
        <w:t>, которую в настоящее время    получают   сельскохозяйственные   предприятия   района.   За 2016 год получена поддержка на сумму 46,4 млн. рублей.</w:t>
      </w:r>
      <w:r w:rsidRPr="00BF0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303">
        <w:rPr>
          <w:rFonts w:ascii="Times New Roman" w:hAnsi="Times New Roman" w:cs="Times New Roman"/>
          <w:sz w:val="28"/>
          <w:szCs w:val="28"/>
        </w:rPr>
        <w:t xml:space="preserve">Средства направлены на оказание несвязанной поддержки сельскохозяйственных товаропроизводителей в области растениеводства и животноводства, субсидирование процентной ставки по кредитам, поддержку технической и технологической модернизации сельскохозяйственного производства и другие виды поддержки. Государственную поддержку  планируется использовать в прогнозируемом периоде. </w:t>
      </w:r>
    </w:p>
    <w:p w:rsidR="00BF0303" w:rsidRPr="00BF0303" w:rsidRDefault="00BF0303" w:rsidP="00BF0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303" w:rsidRPr="00BF0303" w:rsidRDefault="00BF0303" w:rsidP="00BF0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0303">
        <w:rPr>
          <w:rFonts w:ascii="Times New Roman" w:hAnsi="Times New Roman" w:cs="Times New Roman"/>
          <w:b/>
          <w:sz w:val="28"/>
          <w:szCs w:val="28"/>
          <w:u w:val="single"/>
        </w:rPr>
        <w:t>3. Инвестиции</w:t>
      </w:r>
    </w:p>
    <w:p w:rsidR="00BF0303" w:rsidRPr="00BF0303" w:rsidRDefault="00BF0303" w:rsidP="00BF0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 xml:space="preserve">Объем инвестиций за счет всех источников финансирования ежегодно растет. В 2016 году сумма инвестиций в основной капитал за счет всех источников финансирования удвоилась и составила 366 млн. рублей, из них 272 млн. рублей освоены в отрасли сельского хозяйства. </w:t>
      </w: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 xml:space="preserve">В прогнозном периоде ожидается снижение темпов роста инвестиций по сравнению с уровнем 2016 года, но положительная динамика сохранится. </w:t>
      </w:r>
      <w:proofErr w:type="gramStart"/>
      <w:r w:rsidRPr="00BF0303">
        <w:rPr>
          <w:rFonts w:ascii="Times New Roman" w:hAnsi="Times New Roman" w:cs="Times New Roman"/>
          <w:sz w:val="28"/>
          <w:szCs w:val="28"/>
        </w:rPr>
        <w:t xml:space="preserve">Рост инвестиций ожидается за счет  ввода объектов индивидуального жилищного </w:t>
      </w:r>
      <w:r w:rsidRPr="00BF0303">
        <w:rPr>
          <w:rFonts w:ascii="Times New Roman" w:hAnsi="Times New Roman" w:cs="Times New Roman"/>
          <w:sz w:val="28"/>
          <w:szCs w:val="28"/>
        </w:rPr>
        <w:lastRenderedPageBreak/>
        <w:t>строительства, дорожного строительства, строительства социальных объектов (капитального ремонта общеобразовательной школы № 1, строительства школы в р. п. Малиновое Озеро), капитального ремонта объектов ЖКХ (котельные № 1; 2; 13, водонапорные скважины в р.п.</w:t>
      </w:r>
      <w:proofErr w:type="gramEnd"/>
      <w:r w:rsidRPr="00BF03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0303">
        <w:rPr>
          <w:rFonts w:ascii="Times New Roman" w:hAnsi="Times New Roman" w:cs="Times New Roman"/>
          <w:sz w:val="28"/>
          <w:szCs w:val="28"/>
        </w:rPr>
        <w:t>Малиновое Озеро, в с. Михайловское), благоустройства зоны отдыха в р.п.</w:t>
      </w:r>
      <w:proofErr w:type="gramEnd"/>
      <w:r w:rsidRPr="00BF0303">
        <w:rPr>
          <w:rFonts w:ascii="Times New Roman" w:hAnsi="Times New Roman" w:cs="Times New Roman"/>
          <w:sz w:val="28"/>
          <w:szCs w:val="28"/>
        </w:rPr>
        <w:t xml:space="preserve"> Малиновое Озеро, реализации проекта очистки озера Михайловское, приобретения оборудования и сельскохозяйственной техники. Планируется реализация крупного внебюджетного инвестиционного проекта филиал</w:t>
      </w:r>
      <w:proofErr w:type="gramStart"/>
      <w:r w:rsidRPr="00BF0303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BF0303">
        <w:rPr>
          <w:rFonts w:ascii="Times New Roman" w:hAnsi="Times New Roman" w:cs="Times New Roman"/>
          <w:sz w:val="28"/>
          <w:szCs w:val="28"/>
        </w:rPr>
        <w:t xml:space="preserve"> "Михайловский завод химических реактивов» «расширение узла синтеза оксида железа» стоимость проекта 100 млн. рублей. </w:t>
      </w: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 xml:space="preserve">  Планируется продолжить содействие развитию малых форм хозяйствования, которое позволит  увеличить поголовье крупного рогатого скота. </w:t>
      </w: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 xml:space="preserve">Основной объем инвестиций будет освоен за счет собственных и привлеченных средств. 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F0303" w:rsidRPr="00BF0303" w:rsidRDefault="00BF0303" w:rsidP="00BF0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0303">
        <w:rPr>
          <w:rFonts w:ascii="Times New Roman" w:hAnsi="Times New Roman" w:cs="Times New Roman"/>
          <w:b/>
          <w:sz w:val="28"/>
          <w:szCs w:val="28"/>
          <w:u w:val="single"/>
        </w:rPr>
        <w:t>4. Строительство</w:t>
      </w:r>
    </w:p>
    <w:p w:rsidR="00BF0303" w:rsidRPr="00BF0303" w:rsidRDefault="00BF0303" w:rsidP="00BF0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303">
        <w:rPr>
          <w:rFonts w:ascii="Times New Roman" w:hAnsi="Times New Roman" w:cs="Times New Roman"/>
          <w:color w:val="000000"/>
          <w:sz w:val="28"/>
          <w:szCs w:val="28"/>
        </w:rPr>
        <w:t xml:space="preserve">Объем работ, выполненных собственными силами организаций по виду деятельности «Строительство» ежегодно уменьшается, в 2016 году он составил по кругу крупных и средних предприятий 3223 тыс. рублей.  В прогнозный период значительного увеличения объемов строительных работ не планируется.  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30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сфере жилищного строительства прогнозируется снижение объемов строительства.  В 2016 году ввод в действие площадей индивидуальными застройщиками составил 1731 кв.м., в 1,5 раза меньше чем в прошлом году, за полугодие 2017 года введено  241 кв.м. жилья. В прогнозный период будет </w:t>
      </w:r>
      <w:proofErr w:type="gramStart"/>
      <w:r w:rsidRPr="00BF0303">
        <w:rPr>
          <w:rFonts w:ascii="Times New Roman" w:hAnsi="Times New Roman" w:cs="Times New Roman"/>
          <w:color w:val="000000"/>
          <w:sz w:val="28"/>
          <w:szCs w:val="28"/>
        </w:rPr>
        <w:t>вводится</w:t>
      </w:r>
      <w:proofErr w:type="gramEnd"/>
      <w:r w:rsidRPr="00BF0303">
        <w:rPr>
          <w:rFonts w:ascii="Times New Roman" w:hAnsi="Times New Roman" w:cs="Times New Roman"/>
          <w:color w:val="000000"/>
          <w:sz w:val="28"/>
          <w:szCs w:val="28"/>
        </w:rPr>
        <w:t xml:space="preserve">  от 600 до 1000 кв. м. жилой площади, ежегодно.  Однако это существенно не  повлияет на показатель обеспеченности жителей района жильем, приходящимся на одного жителя. Указанный показатель в прогнозный период сохранит свою положительную динамику. 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030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BF0303" w:rsidRPr="00BF0303" w:rsidRDefault="00BF0303" w:rsidP="00BF0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0303">
        <w:rPr>
          <w:rFonts w:ascii="Times New Roman" w:hAnsi="Times New Roman" w:cs="Times New Roman"/>
          <w:b/>
          <w:sz w:val="28"/>
          <w:szCs w:val="28"/>
          <w:u w:val="single"/>
        </w:rPr>
        <w:t>5. Потребительский рынок</w:t>
      </w:r>
    </w:p>
    <w:p w:rsidR="00BF0303" w:rsidRPr="00BF0303" w:rsidRDefault="00BF0303" w:rsidP="00BF0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>Продолжится рост потребительской активности населения, вследствие чего оборот розничной торговли в 2018-2020 годах может возрасти и составить 1588 -1853 млн. рублей. Перспективы дальнейшего роста и развития торговой сферы связаны с увеличением общего количества торговых площадей за счет строительства новых современных торговых точек, реконструкции имеющихся объектов розничной торговли,  внедрения прогрессивных форм обслуживания, обеспечивающих качественный уровень предоставляемых услуг торговли для жителей района.</w:t>
      </w: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>Развитие общественного питания прогнозируется за счет стабильной работы предприятий  общественного питания, открытия новых объектов общедоступной сети. По прогнозным расчетам оборот общественного питания в 2020 году составит 110-118,6 млн</w:t>
      </w:r>
      <w:proofErr w:type="gramStart"/>
      <w:r w:rsidRPr="00BF030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F0303">
        <w:rPr>
          <w:rFonts w:ascii="Times New Roman" w:hAnsi="Times New Roman" w:cs="Times New Roman"/>
          <w:sz w:val="28"/>
          <w:szCs w:val="28"/>
        </w:rPr>
        <w:t>ублей.</w:t>
      </w: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>В прогнозируемый период объем оказываемых платных услуг населению района  составит 279 -282 млн</w:t>
      </w:r>
      <w:proofErr w:type="gramStart"/>
      <w:r w:rsidRPr="00BF030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F0303">
        <w:rPr>
          <w:rFonts w:ascii="Times New Roman" w:hAnsi="Times New Roman" w:cs="Times New Roman"/>
          <w:sz w:val="28"/>
          <w:szCs w:val="28"/>
        </w:rPr>
        <w:t xml:space="preserve">ублей. Планируется рост услуг телевизионной </w:t>
      </w:r>
      <w:r w:rsidRPr="00BF0303">
        <w:rPr>
          <w:rFonts w:ascii="Times New Roman" w:hAnsi="Times New Roman" w:cs="Times New Roman"/>
          <w:sz w:val="28"/>
          <w:szCs w:val="28"/>
        </w:rPr>
        <w:lastRenderedPageBreak/>
        <w:t>связи, продолжение подключения  выхода в сеть Интернет в селах района, увеличения и расширения объектов сферы бытовых  услуг. Ежегодно предполагается увеличение платных  услуг</w:t>
      </w:r>
      <w:r w:rsidRPr="00BF0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303">
        <w:rPr>
          <w:rFonts w:ascii="Times New Roman" w:hAnsi="Times New Roman" w:cs="Times New Roman"/>
          <w:sz w:val="28"/>
          <w:szCs w:val="28"/>
        </w:rPr>
        <w:t>населению в сфере</w:t>
      </w:r>
      <w:r w:rsidRPr="00BF0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303">
        <w:rPr>
          <w:rFonts w:ascii="Times New Roman" w:hAnsi="Times New Roman" w:cs="Times New Roman"/>
          <w:sz w:val="28"/>
          <w:szCs w:val="28"/>
        </w:rPr>
        <w:t>образования, здравоохранения, культуры, за счет расширения номенклатуры и качества предоставляемых услуг. За счет повышения тарифов на коммунальные услуги так же прогнозируется рост.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303" w:rsidRPr="00BF0303" w:rsidRDefault="00BF0303" w:rsidP="00BF0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0303">
        <w:rPr>
          <w:rFonts w:ascii="Times New Roman" w:hAnsi="Times New Roman" w:cs="Times New Roman"/>
          <w:b/>
          <w:sz w:val="28"/>
          <w:szCs w:val="28"/>
          <w:u w:val="single"/>
        </w:rPr>
        <w:t xml:space="preserve">6. Уровень жизни населения 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 xml:space="preserve">Прогнозируется ежегодный  рост показателей уровня жизни населения за счет заработной платы, социальных выплат, доходов от имущества, предпринимательской деятельности. </w:t>
      </w: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 xml:space="preserve">В прогнозный период денежные доходы в расчете на душу населения в номинальном выражении могут увеличиться на 125 %. Структура доходов населения существенно не изменится.  </w:t>
      </w: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 xml:space="preserve">Меры, направленные на улучшение уровня материального обеспечения пенсионеров, семей с детьми обеспечивают стабильно высокую долю социальных трансфертов в структуре доходов (почти 39,5 %).  Доля прочих доходов населения в структуре денежных доходов незначительна за счет уменьшения поступлений из финансовой системы (кредиты и займы). 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303" w:rsidRPr="00BF0303" w:rsidRDefault="00BF0303" w:rsidP="00BF0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F0303">
        <w:rPr>
          <w:rFonts w:ascii="Times New Roman" w:hAnsi="Times New Roman" w:cs="Times New Roman"/>
          <w:b/>
          <w:sz w:val="28"/>
          <w:u w:val="single"/>
        </w:rPr>
        <w:t>7. Труд и занятость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0303">
        <w:rPr>
          <w:rFonts w:ascii="Times New Roman" w:hAnsi="Times New Roman" w:cs="Times New Roman"/>
          <w:sz w:val="28"/>
        </w:rPr>
        <w:tab/>
        <w:t xml:space="preserve">Тенденция снижения численности населения района сохраняется.  Показатели рождаемости, смертности и миграции  не позволяют прогнозировать стабилизацию  численности населения района. Снижается численность трудоспособного населения, которая к концу прогнозного периода составит 9955-10063 человека. 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0303">
        <w:rPr>
          <w:rFonts w:ascii="Times New Roman" w:hAnsi="Times New Roman" w:cs="Times New Roman"/>
          <w:sz w:val="28"/>
        </w:rPr>
        <w:tab/>
        <w:t>Численность занятых в экономике района в 2017 – 2020 годах будет снижаться  за счет реорганизации, изменения структуры и территориальной подчиненности государственных органов, оптимизации затрат в муниципальных органах и муниципальных учреждениях, снижения  численности занятых в личном подсобном хозяйстве, оттока трудоспособного населения из района.</w:t>
      </w:r>
      <w:r w:rsidRPr="00BF0303">
        <w:rPr>
          <w:rFonts w:ascii="Times New Roman" w:hAnsi="Times New Roman" w:cs="Times New Roman"/>
          <w:sz w:val="28"/>
        </w:rPr>
        <w:tab/>
      </w: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F0303">
        <w:rPr>
          <w:rFonts w:ascii="Times New Roman" w:hAnsi="Times New Roman" w:cs="Times New Roman"/>
          <w:sz w:val="28"/>
        </w:rPr>
        <w:t xml:space="preserve">В  2016 и 1 полугодии  2017 года наблюдается снижение уровня безработицы. В прогнозном периоде планируется дальнейшее снижение уровня безработицы. Среднемесячная начисленная заработная плата за 2017 и три прогнозируемых года  возрастет  на 119,7 – 126,8 %. Рост заработной платы будет обусловлен увеличением темпов экономического роста, а так же осуществлением мер по повышению оплаты труда работников бюджетной сферы и внебюджетного сектора экономики.  </w:t>
      </w:r>
    </w:p>
    <w:p w:rsidR="00BF0303" w:rsidRPr="00BF0303" w:rsidRDefault="00BF0303" w:rsidP="00BF0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BF0303" w:rsidRPr="00BF0303" w:rsidRDefault="00BF0303" w:rsidP="00BF0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F0303">
        <w:rPr>
          <w:rFonts w:ascii="Times New Roman" w:hAnsi="Times New Roman" w:cs="Times New Roman"/>
          <w:b/>
          <w:sz w:val="28"/>
          <w:u w:val="single"/>
        </w:rPr>
        <w:t>8. Демография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0303">
        <w:rPr>
          <w:rFonts w:ascii="Times New Roman" w:hAnsi="Times New Roman" w:cs="Times New Roman"/>
          <w:sz w:val="28"/>
        </w:rPr>
        <w:tab/>
        <w:t xml:space="preserve">Анализ демографической ситуации показывает, что к 2020 году численность населения района снизится. Уровень рождаемости и смертности не достаточно высок чтобы </w:t>
      </w:r>
      <w:proofErr w:type="gramStart"/>
      <w:r w:rsidRPr="00BF0303">
        <w:rPr>
          <w:rFonts w:ascii="Times New Roman" w:hAnsi="Times New Roman" w:cs="Times New Roman"/>
          <w:sz w:val="28"/>
        </w:rPr>
        <w:t>стабилизировать</w:t>
      </w:r>
      <w:proofErr w:type="gramEnd"/>
      <w:r w:rsidRPr="00BF0303">
        <w:rPr>
          <w:rFonts w:ascii="Times New Roman" w:hAnsi="Times New Roman" w:cs="Times New Roman"/>
          <w:sz w:val="28"/>
        </w:rPr>
        <w:t xml:space="preserve"> численность населения района.    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0303">
        <w:rPr>
          <w:rFonts w:ascii="Times New Roman" w:hAnsi="Times New Roman" w:cs="Times New Roman"/>
          <w:sz w:val="28"/>
        </w:rPr>
        <w:lastRenderedPageBreak/>
        <w:tab/>
        <w:t xml:space="preserve">По оценке 1 полугодия 2017 года  ожидается не только снижение миграционной убыли населения, но и рост численности населения за счет реализации различных программ на территории района, улучшения жизненного уровня населения. Однако рост численности населения за счет миграционных процессов в значительной степени не повлияет  на убыль населения района в целом. 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F0303" w:rsidRPr="00BF0303" w:rsidRDefault="00BF0303" w:rsidP="00BF0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0303">
        <w:rPr>
          <w:rFonts w:ascii="Times New Roman" w:hAnsi="Times New Roman" w:cs="Times New Roman"/>
          <w:b/>
          <w:sz w:val="28"/>
          <w:szCs w:val="28"/>
          <w:u w:val="single"/>
        </w:rPr>
        <w:t>9. Туризм</w:t>
      </w:r>
    </w:p>
    <w:p w:rsidR="00BF0303" w:rsidRPr="00BF0303" w:rsidRDefault="00BF0303" w:rsidP="00BF0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 xml:space="preserve">На территории района деятельность в сфере туризма в настоящее время только  формируется. В 2017 году начата  реализация инвестиционного проекта в сфере оказания услуг по организации туристического отдыха в р.п. Малиновое Озеро. В результате реализации проекта планируется увеличение количества мест единовременного размещения за счет строительства сезонных помещений на строящейся зоне отдыха. </w:t>
      </w:r>
      <w:proofErr w:type="gramStart"/>
      <w:r w:rsidRPr="00BF03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03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03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0303">
        <w:rPr>
          <w:rFonts w:ascii="Times New Roman" w:hAnsi="Times New Roman" w:cs="Times New Roman"/>
          <w:sz w:val="28"/>
          <w:szCs w:val="28"/>
        </w:rPr>
        <w:t>. Ракиты построена зона отдыха с  искусственным водоемом и детской площадкой. Услуги оказывает действующий детский оздоровительный лагерь им. Ю.Гагарина, планируется ежегодно оздоровление более 300 человек. В прогнозируемом периоде планируется дальнейшее развитие  отрасли туризма.</w:t>
      </w: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0303" w:rsidRPr="00BF0303" w:rsidRDefault="00BF0303" w:rsidP="00BF03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0303">
        <w:rPr>
          <w:rFonts w:ascii="Times New Roman" w:hAnsi="Times New Roman" w:cs="Times New Roman"/>
          <w:b/>
          <w:sz w:val="28"/>
          <w:szCs w:val="28"/>
          <w:u w:val="single"/>
        </w:rPr>
        <w:t>10. Бюджет</w:t>
      </w:r>
    </w:p>
    <w:p w:rsidR="00BF0303" w:rsidRPr="00BF0303" w:rsidRDefault="00BF0303" w:rsidP="00BF03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 xml:space="preserve">В структуре доходов консолидированного бюджета района более 61 % составляют безвозмездные поступления,  30,2 % составляют собственные налоговые и неналоговые доходы. В структуре собственных доходов бюджета наибольшую долю составляет налог на доходы физических лиц -  64,6 %. Доля доходов от использования имущества, находящегося в муниципальной собственности, в собственных доходах бюджета – 10,5 %.  </w:t>
      </w: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>В части расходов, бюджет района имеет явную социальную направленность.</w:t>
      </w: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 xml:space="preserve">Расходы консолидированного бюджета района в социальную сферу составляют 85,8 %, из них 72,2 % на образование.  Следовательно, на исполнение других полномочий района  средств недостаточно. Прогнозируется ежегодное увеличение расходов бюджета. </w:t>
      </w: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>На охрану окружающей среды расходы бюджета в  прогнозируемом периоде не предусмотрены.</w:t>
      </w:r>
    </w:p>
    <w:p w:rsidR="00BF0303" w:rsidRPr="00BF0303" w:rsidRDefault="00BF0303" w:rsidP="00BF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 xml:space="preserve">В прогнозном периоде существенных изменений в структуре доходов и расходов бюджета не планируется. </w:t>
      </w:r>
    </w:p>
    <w:p w:rsidR="00BF0303" w:rsidRPr="00BF0303" w:rsidRDefault="00BF0303" w:rsidP="00BF030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F0303" w:rsidRPr="00BF0303" w:rsidRDefault="00BF0303" w:rsidP="00BF03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0303">
        <w:rPr>
          <w:rFonts w:ascii="Times New Roman" w:hAnsi="Times New Roman" w:cs="Times New Roman"/>
          <w:b/>
          <w:sz w:val="28"/>
          <w:szCs w:val="28"/>
          <w:u w:val="single"/>
        </w:rPr>
        <w:t>11. Перечень основных проблемных вопросов развития района, сдерживающих его социально – экономическое развитие.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303" w:rsidRPr="00BF0303" w:rsidRDefault="00BF0303" w:rsidP="00BF03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303">
        <w:rPr>
          <w:rFonts w:ascii="Times New Roman" w:hAnsi="Times New Roman" w:cs="Times New Roman"/>
          <w:b/>
          <w:sz w:val="28"/>
          <w:szCs w:val="28"/>
        </w:rPr>
        <w:t>1. Проблемы, препятствующие росту уровня и качества жизни населения, созданию благоприятного социального климата для деятельности и здорового образа жизни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>- низкий уровень доходов населения;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>- высокий удельный вес населения, нуждающегося в социальной защите;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lastRenderedPageBreak/>
        <w:t>-сокращение численности населения вследствие высокого уровня преждевременной смертности, сокращения средней продолжительности жизни, естественной убыли населения, продолжающийся процесс старения населения.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303" w:rsidRPr="00BF0303" w:rsidRDefault="00BF0303" w:rsidP="00BF03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303">
        <w:rPr>
          <w:rFonts w:ascii="Times New Roman" w:hAnsi="Times New Roman" w:cs="Times New Roman"/>
          <w:b/>
          <w:sz w:val="28"/>
          <w:szCs w:val="28"/>
        </w:rPr>
        <w:t>2. Проблемы, препятствующие росту качества среды жизнедеятельности: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303">
        <w:rPr>
          <w:rFonts w:ascii="Times New Roman" w:hAnsi="Times New Roman" w:cs="Times New Roman"/>
          <w:b/>
          <w:sz w:val="28"/>
          <w:szCs w:val="28"/>
        </w:rPr>
        <w:t>а) социально-экономического характера: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>- рост цен на энергоносители и связанный с ним рост тарифов на коммунальные услуги;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>- высокая стоимость жилищно-коммунальных услуг, не обеспеченная ростом доходов основной части населения, рост дебиторской задолженности по ЖКХ;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>- высокий уровень износа основных фондов объектов ЖКХ;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>- недостаточный объем инвестиций в основной капитал в отрасль ЖКХ.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303">
        <w:rPr>
          <w:rFonts w:ascii="Times New Roman" w:hAnsi="Times New Roman" w:cs="Times New Roman"/>
          <w:b/>
          <w:sz w:val="28"/>
          <w:szCs w:val="28"/>
        </w:rPr>
        <w:t>б) природно-экологического характера: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>- высокий риск возникновения пожаров (2 класс опасности) в сосновых борах;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>-формирование несанкционированных свалок и загрязнение бытовыми отходами сельскохозяйственных и лесных угодий;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>- недостаточное количество водных ресурсов;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>- недостаточное финансирование природоохранных мероприятий хозяйствующими субъектами и бюджетного финансирования.</w:t>
      </w:r>
    </w:p>
    <w:p w:rsidR="00BF0303" w:rsidRPr="00BF0303" w:rsidRDefault="00BF0303" w:rsidP="00BF0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303" w:rsidRPr="00BF0303" w:rsidRDefault="00BF0303" w:rsidP="00BF03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303">
        <w:rPr>
          <w:rFonts w:ascii="Times New Roman" w:hAnsi="Times New Roman" w:cs="Times New Roman"/>
          <w:b/>
          <w:sz w:val="28"/>
          <w:szCs w:val="28"/>
        </w:rPr>
        <w:t>3. Проблемы, сдерживающие рост экономического потенциала: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>- высокая доля убыточных предприятий, особенно в отраслях по производству и распределению электроэнергии, газа и воды;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0303">
        <w:rPr>
          <w:rFonts w:ascii="Times New Roman" w:hAnsi="Times New Roman" w:cs="Times New Roman"/>
          <w:sz w:val="28"/>
          <w:szCs w:val="28"/>
        </w:rPr>
        <w:t>диспаритет</w:t>
      </w:r>
      <w:proofErr w:type="spellEnd"/>
      <w:r w:rsidRPr="00BF0303">
        <w:rPr>
          <w:rFonts w:ascii="Times New Roman" w:hAnsi="Times New Roman" w:cs="Times New Roman"/>
          <w:sz w:val="28"/>
          <w:szCs w:val="28"/>
        </w:rPr>
        <w:t xml:space="preserve"> на сельскохозяйственную продукцию и сельскохозяйственную технику, запасные части к ней, ГСМ, средства защиты растений, минеральные удобрения;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 xml:space="preserve">- низкое качество жизни населения, сложное положение в социально-трудовой сфере, заработная плата в большинстве отраслей ниже </w:t>
      </w:r>
      <w:proofErr w:type="spellStart"/>
      <w:r w:rsidRPr="00BF0303">
        <w:rPr>
          <w:rFonts w:ascii="Times New Roman" w:hAnsi="Times New Roman" w:cs="Times New Roman"/>
          <w:sz w:val="28"/>
          <w:szCs w:val="28"/>
        </w:rPr>
        <w:t>среднерайонной</w:t>
      </w:r>
      <w:proofErr w:type="spellEnd"/>
      <w:r w:rsidRPr="00BF0303">
        <w:rPr>
          <w:rFonts w:ascii="Times New Roman" w:hAnsi="Times New Roman" w:cs="Times New Roman"/>
          <w:sz w:val="28"/>
          <w:szCs w:val="28"/>
        </w:rPr>
        <w:t>.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303" w:rsidRPr="00BF0303" w:rsidRDefault="00BF0303" w:rsidP="00BF03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303">
        <w:rPr>
          <w:rFonts w:ascii="Times New Roman" w:hAnsi="Times New Roman" w:cs="Times New Roman"/>
          <w:b/>
          <w:sz w:val="28"/>
          <w:szCs w:val="28"/>
        </w:rPr>
        <w:t>4. Проблемы планировочной организации территории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>- наличие некоторого контраста в развитии частей района – наблюдается наиболее плотное освоение центральной и северной частей района в сравнении с южной, где располагается меньшее число населенных пунктов;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>-отсутствие генеральных планов развития поселений;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>- значительное рассредоточение населенных пунктов.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303" w:rsidRPr="00BF0303" w:rsidRDefault="00BF0303" w:rsidP="00BF03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303">
        <w:rPr>
          <w:rFonts w:ascii="Times New Roman" w:hAnsi="Times New Roman" w:cs="Times New Roman"/>
          <w:b/>
          <w:sz w:val="28"/>
          <w:szCs w:val="28"/>
        </w:rPr>
        <w:t>5. Административно-правовые проблемы: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303">
        <w:rPr>
          <w:rFonts w:ascii="Times New Roman" w:hAnsi="Times New Roman" w:cs="Times New Roman"/>
          <w:b/>
          <w:sz w:val="28"/>
          <w:szCs w:val="28"/>
        </w:rPr>
        <w:t>а) Незавершенность системы земельных отношений: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303">
        <w:rPr>
          <w:rFonts w:ascii="Times New Roman" w:hAnsi="Times New Roman" w:cs="Times New Roman"/>
          <w:sz w:val="28"/>
          <w:szCs w:val="28"/>
        </w:rPr>
        <w:t>- не все земли района поставлены на кадастровый учет, не закончены межевые работы, отсутствие генеральных планов застройки в селах района.</w:t>
      </w:r>
    </w:p>
    <w:p w:rsidR="00BF0303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303">
        <w:rPr>
          <w:rFonts w:ascii="Times New Roman" w:hAnsi="Times New Roman" w:cs="Times New Roman"/>
          <w:b/>
          <w:sz w:val="28"/>
          <w:szCs w:val="28"/>
        </w:rPr>
        <w:t>б) Обеспеченность управления:</w:t>
      </w:r>
    </w:p>
    <w:p w:rsidR="00977C39" w:rsidRPr="00BF0303" w:rsidRDefault="00BF0303" w:rsidP="00BF03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0303">
        <w:rPr>
          <w:rFonts w:ascii="Times New Roman" w:hAnsi="Times New Roman" w:cs="Times New Roman"/>
          <w:sz w:val="28"/>
          <w:szCs w:val="28"/>
        </w:rPr>
        <w:t xml:space="preserve">- недостаточная оснащенность местных органов самоуправления современной оргтехникой, программным обеспечением, системами связи, квалифицированными кадрами. </w:t>
      </w:r>
      <w:bookmarkStart w:id="0" w:name="Par25"/>
      <w:bookmarkEnd w:id="0"/>
    </w:p>
    <w:p w:rsidR="00D27DA2" w:rsidRPr="00BF0303" w:rsidRDefault="00D27DA2" w:rsidP="00BF03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sectPr w:rsidR="00D27DA2" w:rsidRPr="00BF0303" w:rsidSect="00D27DA2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92C"/>
    <w:multiLevelType w:val="singleLevel"/>
    <w:tmpl w:val="B322AC4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794"/>
    <w:rsid w:val="00011C12"/>
    <w:rsid w:val="000A7390"/>
    <w:rsid w:val="00136E42"/>
    <w:rsid w:val="00155FBD"/>
    <w:rsid w:val="00191687"/>
    <w:rsid w:val="001933AE"/>
    <w:rsid w:val="00195BAB"/>
    <w:rsid w:val="0020053D"/>
    <w:rsid w:val="00237AA1"/>
    <w:rsid w:val="00275AF5"/>
    <w:rsid w:val="002C4E2C"/>
    <w:rsid w:val="002E1E0A"/>
    <w:rsid w:val="002E5DE5"/>
    <w:rsid w:val="00311803"/>
    <w:rsid w:val="00336671"/>
    <w:rsid w:val="003414A3"/>
    <w:rsid w:val="00347D67"/>
    <w:rsid w:val="00415263"/>
    <w:rsid w:val="0043539C"/>
    <w:rsid w:val="00453794"/>
    <w:rsid w:val="004B094C"/>
    <w:rsid w:val="004D228E"/>
    <w:rsid w:val="00575933"/>
    <w:rsid w:val="005E20AA"/>
    <w:rsid w:val="005F1AA7"/>
    <w:rsid w:val="00620D6F"/>
    <w:rsid w:val="006B5B89"/>
    <w:rsid w:val="006D1A07"/>
    <w:rsid w:val="006E120B"/>
    <w:rsid w:val="006F410B"/>
    <w:rsid w:val="00741B66"/>
    <w:rsid w:val="00775CA2"/>
    <w:rsid w:val="007C6E29"/>
    <w:rsid w:val="00804FDA"/>
    <w:rsid w:val="00810947"/>
    <w:rsid w:val="008819ED"/>
    <w:rsid w:val="008B2A56"/>
    <w:rsid w:val="008E73C2"/>
    <w:rsid w:val="00904541"/>
    <w:rsid w:val="009226D4"/>
    <w:rsid w:val="00925EE8"/>
    <w:rsid w:val="00977C39"/>
    <w:rsid w:val="00985124"/>
    <w:rsid w:val="009C5686"/>
    <w:rsid w:val="009D5DC7"/>
    <w:rsid w:val="00A57FD4"/>
    <w:rsid w:val="00A91B0D"/>
    <w:rsid w:val="00A91F93"/>
    <w:rsid w:val="00B1603C"/>
    <w:rsid w:val="00B27166"/>
    <w:rsid w:val="00B46D0C"/>
    <w:rsid w:val="00B758E2"/>
    <w:rsid w:val="00BF0303"/>
    <w:rsid w:val="00C51E85"/>
    <w:rsid w:val="00C91545"/>
    <w:rsid w:val="00C97C91"/>
    <w:rsid w:val="00CA263A"/>
    <w:rsid w:val="00CE50B0"/>
    <w:rsid w:val="00D068E8"/>
    <w:rsid w:val="00D13D86"/>
    <w:rsid w:val="00D27DA2"/>
    <w:rsid w:val="00D32F23"/>
    <w:rsid w:val="00DC63E9"/>
    <w:rsid w:val="00DE64B1"/>
    <w:rsid w:val="00DF1951"/>
    <w:rsid w:val="00F04E82"/>
    <w:rsid w:val="00FB71A3"/>
    <w:rsid w:val="00FE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9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37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53794"/>
    <w:rPr>
      <w:color w:val="0000FF"/>
      <w:u w:val="single"/>
    </w:rPr>
  </w:style>
  <w:style w:type="paragraph" w:customStyle="1" w:styleId="Style1">
    <w:name w:val="Style1"/>
    <w:basedOn w:val="a"/>
    <w:rsid w:val="00453794"/>
    <w:pPr>
      <w:widowControl w:val="0"/>
      <w:autoSpaceDE w:val="0"/>
      <w:autoSpaceDN w:val="0"/>
      <w:adjustRightInd w:val="0"/>
      <w:spacing w:after="0" w:line="322" w:lineRule="exact"/>
      <w:ind w:hanging="19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53794"/>
    <w:pPr>
      <w:widowControl w:val="0"/>
      <w:autoSpaceDE w:val="0"/>
      <w:autoSpaceDN w:val="0"/>
      <w:adjustRightInd w:val="0"/>
      <w:spacing w:after="0" w:line="9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53794"/>
    <w:pPr>
      <w:widowControl w:val="0"/>
      <w:autoSpaceDE w:val="0"/>
      <w:autoSpaceDN w:val="0"/>
      <w:adjustRightInd w:val="0"/>
      <w:spacing w:after="0" w:line="31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453794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2">
    <w:name w:val="Font Style12"/>
    <w:basedOn w:val="a0"/>
    <w:rsid w:val="00453794"/>
    <w:rPr>
      <w:rFonts w:ascii="Times New Roman" w:hAnsi="Times New Roman" w:cs="Times New Roman"/>
      <w:spacing w:val="20"/>
      <w:sz w:val="22"/>
      <w:szCs w:val="22"/>
    </w:rPr>
  </w:style>
  <w:style w:type="paragraph" w:styleId="a4">
    <w:name w:val="No Spacing"/>
    <w:uiPriority w:val="1"/>
    <w:qFormat/>
    <w:rsid w:val="00453794"/>
    <w:pPr>
      <w:spacing w:after="0" w:line="240" w:lineRule="auto"/>
    </w:pPr>
  </w:style>
  <w:style w:type="paragraph" w:customStyle="1" w:styleId="Style5">
    <w:name w:val="Style5"/>
    <w:basedOn w:val="a"/>
    <w:rsid w:val="00011C12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5D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70926-87B5-4D36-A59C-F66F4300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4191</Words>
  <Characters>23892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Tolochkina</dc:creator>
  <cp:keywords/>
  <dc:description/>
  <cp:lastModifiedBy>Tolochkina</cp:lastModifiedBy>
  <cp:revision>3</cp:revision>
  <cp:lastPrinted>2015-12-17T01:57:00Z</cp:lastPrinted>
  <dcterms:created xsi:type="dcterms:W3CDTF">2017-10-12T05:23:00Z</dcterms:created>
  <dcterms:modified xsi:type="dcterms:W3CDTF">2017-10-31T04:48:00Z</dcterms:modified>
</cp:coreProperties>
</file>