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1C" w:rsidRPr="00773D1C" w:rsidRDefault="00773D1C" w:rsidP="00773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73D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Памятка для покупателя парфюмерно-косметической продукции</w:t>
      </w:r>
    </w:p>
    <w:p w:rsidR="00773D1C" w:rsidRPr="00773D1C" w:rsidRDefault="00773D1C" w:rsidP="00773D1C">
      <w:pPr>
        <w:rPr>
          <w:sz w:val="28"/>
          <w:szCs w:val="28"/>
          <w:u w:val="single"/>
        </w:rPr>
      </w:pPr>
      <w:r w:rsidRPr="00773D1C">
        <w:rPr>
          <w:sz w:val="28"/>
          <w:szCs w:val="28"/>
          <w:u w:val="single"/>
        </w:rPr>
        <w:t>Чтобы сделать правильный выбор при покупке парфюмерно-косметической продукции, следуйте данным рекомендациям.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b/>
          <w:bCs/>
          <w:sz w:val="28"/>
          <w:szCs w:val="28"/>
        </w:rPr>
        <w:t>1. Изучите внешний вид упаковки товара.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Упаковка товара не должна вызывать подозрений. Прежде всего, она должна быть аккуратной (например, если это картон, то он должен быть качественным), шрифты на упаковке должны быть четкими и читаемыми, при этом буквы, залитые тоном (красителем) не должны размазываться. Если продукт упакован в целлофановую пленку, то она также должна выглядеть аккуратно.</w:t>
      </w:r>
      <w:r>
        <w:rPr>
          <w:sz w:val="28"/>
          <w:szCs w:val="28"/>
        </w:rPr>
        <w:t xml:space="preserve">  </w:t>
      </w:r>
      <w:r w:rsidRPr="00773D1C">
        <w:rPr>
          <w:sz w:val="28"/>
          <w:szCs w:val="28"/>
        </w:rPr>
        <w:t>Вместе с тем упаковка выполняет не только эстетическую функцию. Она сохраняет продукт до непосредственного контакта с потребителем, а также доносит важную информацию о продукте.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b/>
          <w:bCs/>
          <w:sz w:val="28"/>
          <w:szCs w:val="28"/>
        </w:rPr>
        <w:t xml:space="preserve">2. Изучите информацию, нанесенную на потребительскую упаковку. </w:t>
      </w:r>
    </w:p>
    <w:p w:rsidR="00773D1C" w:rsidRPr="00773D1C" w:rsidRDefault="00773D1C" w:rsidP="00773D1C">
      <w:pPr>
        <w:rPr>
          <w:sz w:val="28"/>
          <w:szCs w:val="28"/>
        </w:rPr>
      </w:pPr>
      <w:proofErr w:type="gramStart"/>
      <w:r w:rsidRPr="00773D1C">
        <w:rPr>
          <w:sz w:val="28"/>
          <w:szCs w:val="28"/>
        </w:rPr>
        <w:t>Информация должна быть однозначно понимаемой, полной и достоверной, чтобы потребитель не мог быть обманут или введен в заблуждение относительно происхождения, свойства, состава, способа применения, а также других сведений, характеризующих прямо или косвенно качество и безопасность парфюмерно-косметической продукции, и не мог ошибочно принять данную продукцию за другую, близкую к ней по внешнему виду упаковки и (или) органолептическим показателям.</w:t>
      </w:r>
      <w:proofErr w:type="gramEnd"/>
      <w:r>
        <w:rPr>
          <w:sz w:val="28"/>
          <w:szCs w:val="28"/>
        </w:rPr>
        <w:t xml:space="preserve"> </w:t>
      </w:r>
      <w:r w:rsidRPr="00773D1C">
        <w:rPr>
          <w:sz w:val="28"/>
          <w:szCs w:val="28"/>
        </w:rPr>
        <w:t>В соответствии с Законом Российской Федерации «О защите прав потребителей» потребителю должна быть своевременно предоставлена необходимая и достоверная информация о товаре, обеспечивающая возможность его правильного выбора.</w:t>
      </w:r>
      <w:r>
        <w:rPr>
          <w:sz w:val="28"/>
          <w:szCs w:val="28"/>
        </w:rPr>
        <w:t xml:space="preserve"> </w:t>
      </w:r>
      <w:r w:rsidRPr="00773D1C">
        <w:rPr>
          <w:sz w:val="28"/>
          <w:szCs w:val="28"/>
        </w:rPr>
        <w:t>Согласно требованиям Технического регламента Таможенного союза «О безопасности парфюмерно-косметической продукции» («</w:t>
      </w:r>
      <w:proofErr w:type="gramStart"/>
      <w:r w:rsidRPr="00773D1C">
        <w:rPr>
          <w:sz w:val="28"/>
          <w:szCs w:val="28"/>
        </w:rPr>
        <w:t>ТР</w:t>
      </w:r>
      <w:proofErr w:type="gramEnd"/>
      <w:r w:rsidRPr="00773D1C">
        <w:rPr>
          <w:sz w:val="28"/>
          <w:szCs w:val="28"/>
        </w:rPr>
        <w:t xml:space="preserve"> ТС 009/2011) маркировка парфюмерно-косметической продукции должна содержать следующую информацию:</w:t>
      </w:r>
    </w:p>
    <w:p w:rsid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наименование, название (при наличии) парфюмерно-косметической продукции;</w:t>
      </w:r>
      <w:r>
        <w:rPr>
          <w:sz w:val="28"/>
          <w:szCs w:val="28"/>
        </w:rPr>
        <w:t xml:space="preserve">  </w:t>
      </w:r>
    </w:p>
    <w:p w:rsidR="00773D1C" w:rsidRPr="00773D1C" w:rsidRDefault="00773D1C" w:rsidP="00773D1C">
      <w:pPr>
        <w:spacing w:line="240" w:lineRule="auto"/>
        <w:rPr>
          <w:sz w:val="28"/>
          <w:szCs w:val="28"/>
        </w:rPr>
      </w:pPr>
      <w:r w:rsidRPr="00773D1C">
        <w:rPr>
          <w:sz w:val="28"/>
          <w:szCs w:val="28"/>
        </w:rPr>
        <w:lastRenderedPageBreak/>
        <w:t>- назначение парфюмерно-косметической продукции, если это не следует из наименования продукции, а косметика, предназначенная для детей, должна иметь соответствующую информацию в маркировке;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наименование изготовителя и его местонахождение (юридический адрес, включая страну);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— члена ТС;</w:t>
      </w:r>
    </w:p>
    <w:p w:rsidR="00773D1C" w:rsidRPr="00773D1C" w:rsidRDefault="00773D1C" w:rsidP="00773D1C">
      <w:pPr>
        <w:rPr>
          <w:sz w:val="28"/>
          <w:szCs w:val="28"/>
        </w:rPr>
      </w:pPr>
      <w:proofErr w:type="gramStart"/>
      <w:r w:rsidRPr="00773D1C">
        <w:rPr>
          <w:sz w:val="28"/>
          <w:szCs w:val="28"/>
        </w:rPr>
        <w:t>- номинальное количество продукции в потребительской таре (объем, и (или) масса, и (или) штуки);</w:t>
      </w:r>
      <w:proofErr w:type="gramEnd"/>
    </w:p>
    <w:p w:rsidR="00773D1C" w:rsidRPr="00773D1C" w:rsidRDefault="00773D1C" w:rsidP="00773D1C">
      <w:pPr>
        <w:rPr>
          <w:sz w:val="28"/>
          <w:szCs w:val="28"/>
        </w:rPr>
      </w:pPr>
      <w:r>
        <w:rPr>
          <w:sz w:val="28"/>
          <w:szCs w:val="28"/>
        </w:rPr>
        <w:t>- срок годности;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 xml:space="preserve">- описание условий хранения в случае, если эти условия отличаются </w:t>
      </w:r>
      <w:proofErr w:type="gramStart"/>
      <w:r w:rsidRPr="00773D1C">
        <w:rPr>
          <w:sz w:val="28"/>
          <w:szCs w:val="28"/>
        </w:rPr>
        <w:t>от</w:t>
      </w:r>
      <w:proofErr w:type="gramEnd"/>
      <w:r w:rsidRPr="00773D1C">
        <w:rPr>
          <w:sz w:val="28"/>
          <w:szCs w:val="28"/>
        </w:rPr>
        <w:t xml:space="preserve"> стандартных;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особые меры предосторожности (при необходимости) при применении продукции, в том числе информация о предупреждениях;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номер партии или специальный код, позволяющие идентифицировать партию парфюмерно-косметической продукции;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список ингредиентов, который может быть представлен либо на русском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Также допускается буквами латинского алфавита указывать наименование изготовителя, местонахождение изготовителя и название продукции, название линии (серии), единицы измерения объема (</w:t>
      </w:r>
      <w:proofErr w:type="spellStart"/>
      <w:r w:rsidRPr="00773D1C">
        <w:rPr>
          <w:sz w:val="28"/>
          <w:szCs w:val="28"/>
        </w:rPr>
        <w:t>ml</w:t>
      </w:r>
      <w:proofErr w:type="spellEnd"/>
      <w:r w:rsidRPr="00773D1C">
        <w:rPr>
          <w:sz w:val="28"/>
          <w:szCs w:val="28"/>
        </w:rPr>
        <w:t>, L) или массы (</w:t>
      </w:r>
      <w:proofErr w:type="spellStart"/>
      <w:r w:rsidRPr="00773D1C">
        <w:rPr>
          <w:sz w:val="28"/>
          <w:szCs w:val="28"/>
        </w:rPr>
        <w:t>g</w:t>
      </w:r>
      <w:proofErr w:type="spellEnd"/>
      <w:r w:rsidRPr="00773D1C">
        <w:rPr>
          <w:sz w:val="28"/>
          <w:szCs w:val="28"/>
        </w:rPr>
        <w:t xml:space="preserve">, </w:t>
      </w:r>
      <w:proofErr w:type="spellStart"/>
      <w:r w:rsidRPr="00773D1C">
        <w:rPr>
          <w:sz w:val="28"/>
          <w:szCs w:val="28"/>
        </w:rPr>
        <w:t>kg</w:t>
      </w:r>
      <w:proofErr w:type="spellEnd"/>
      <w:r w:rsidRPr="00773D1C">
        <w:rPr>
          <w:sz w:val="28"/>
          <w:szCs w:val="28"/>
        </w:rPr>
        <w:t xml:space="preserve">). </w:t>
      </w:r>
      <w:r w:rsidRPr="00773D1C">
        <w:rPr>
          <w:sz w:val="28"/>
          <w:szCs w:val="28"/>
        </w:rPr>
        <w:lastRenderedPageBreak/>
        <w:t>Страна происхождения парфюмерно-косметической продукции приводится на русском языке.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Отсутствие указанной информации ставит под сомнение происхождение товара, его качество и безопасность.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b/>
          <w:bCs/>
          <w:sz w:val="28"/>
          <w:szCs w:val="28"/>
        </w:rPr>
        <w:t>3. Уточните о наличии у продавца документов, подтверждающих качество товара.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Парфюмерно-косметическая продукция должна соответствовать требованиям технического регламента Таможенного союза (</w:t>
      </w:r>
      <w:proofErr w:type="gramStart"/>
      <w:r w:rsidRPr="00773D1C">
        <w:rPr>
          <w:sz w:val="28"/>
          <w:szCs w:val="28"/>
        </w:rPr>
        <w:t>ТР</w:t>
      </w:r>
      <w:proofErr w:type="gramEnd"/>
      <w:r w:rsidRPr="00773D1C">
        <w:rPr>
          <w:sz w:val="28"/>
          <w:szCs w:val="28"/>
        </w:rPr>
        <w:t xml:space="preserve"> ТС 009/2011) «О безопасности парфюмерно-косметической продукции», который устанавливает (среди прочего) требования к продукции (ее составу, физико-химическим, микробиологическим, токсикологическим показателям, содержанию токсичных элементов и др.) в целях защиты жизни и здоровья 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 xml:space="preserve">Только соответствующая требованиям </w:t>
      </w:r>
      <w:proofErr w:type="gramStart"/>
      <w:r w:rsidRPr="00773D1C">
        <w:rPr>
          <w:sz w:val="28"/>
          <w:szCs w:val="28"/>
        </w:rPr>
        <w:t>ТР</w:t>
      </w:r>
      <w:proofErr w:type="gramEnd"/>
      <w:r w:rsidRPr="00773D1C">
        <w:rPr>
          <w:sz w:val="28"/>
          <w:szCs w:val="28"/>
        </w:rPr>
        <w:t xml:space="preserve"> ТС 009/2011 продукция может быть маркирована единым знаком обращения продукции на рынке государств-членов Таможенного Союза.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 xml:space="preserve">Соответствие качества и безопасности парфюмерно-косметической продукции требованиям </w:t>
      </w:r>
      <w:proofErr w:type="gramStart"/>
      <w:r w:rsidRPr="00773D1C">
        <w:rPr>
          <w:sz w:val="28"/>
          <w:szCs w:val="28"/>
        </w:rPr>
        <w:t>ТР</w:t>
      </w:r>
      <w:proofErr w:type="gramEnd"/>
      <w:r w:rsidRPr="00773D1C">
        <w:rPr>
          <w:sz w:val="28"/>
          <w:szCs w:val="28"/>
        </w:rPr>
        <w:t xml:space="preserve"> ТС 009/2011 подтверждается, в том числе, свидетельством о государственной регистрации такой продукции (например, парфюмерно-косметической продукции для химического окрашивания, осветления, </w:t>
      </w:r>
      <w:proofErr w:type="spellStart"/>
      <w:r w:rsidRPr="00773D1C">
        <w:rPr>
          <w:sz w:val="28"/>
          <w:szCs w:val="28"/>
        </w:rPr>
        <w:t>мелирования</w:t>
      </w:r>
      <w:proofErr w:type="spellEnd"/>
      <w:r w:rsidRPr="00773D1C">
        <w:rPr>
          <w:sz w:val="28"/>
          <w:szCs w:val="28"/>
        </w:rPr>
        <w:t xml:space="preserve">, химической завивки и распрямления волос, отбеливания (осветления) кожи, искусственного загара, косметики для </w:t>
      </w:r>
      <w:proofErr w:type="spellStart"/>
      <w:r w:rsidRPr="00773D1C">
        <w:rPr>
          <w:sz w:val="28"/>
          <w:szCs w:val="28"/>
        </w:rPr>
        <w:t>татуажа</w:t>
      </w:r>
      <w:proofErr w:type="spellEnd"/>
      <w:r w:rsidRPr="00773D1C">
        <w:rPr>
          <w:sz w:val="28"/>
          <w:szCs w:val="28"/>
        </w:rPr>
        <w:t xml:space="preserve">, детской косметики, </w:t>
      </w:r>
      <w:proofErr w:type="spellStart"/>
      <w:r w:rsidRPr="00773D1C">
        <w:rPr>
          <w:sz w:val="28"/>
          <w:szCs w:val="28"/>
        </w:rPr>
        <w:t>пилингов</w:t>
      </w:r>
      <w:proofErr w:type="spellEnd"/>
      <w:r w:rsidRPr="00773D1C">
        <w:rPr>
          <w:sz w:val="28"/>
          <w:szCs w:val="28"/>
        </w:rPr>
        <w:t xml:space="preserve"> и др.).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b/>
          <w:bCs/>
          <w:sz w:val="28"/>
          <w:szCs w:val="28"/>
        </w:rPr>
        <w:t>4.  Проверьте легальность парфюмерии с помощью специального приложения.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Напоминаем, что в целях соблюдения прав потребителей и пресечения распространения в Российской Федерации контрафактной и фальсифицированной парфюмерной продукции с 1 октября 2020 года Правительством Российской Федерации введена</w:t>
      </w:r>
      <w:hyperlink r:id="rId4" w:anchor="_ftn1" w:tgtFrame="_blank" w:history="1">
        <w:r w:rsidRPr="00773D1C">
          <w:rPr>
            <w:rStyle w:val="a3"/>
            <w:color w:val="auto"/>
            <w:sz w:val="28"/>
            <w:szCs w:val="28"/>
          </w:rPr>
          <w:t>[1]</w:t>
        </w:r>
      </w:hyperlink>
      <w:r w:rsidRPr="00773D1C">
        <w:rPr>
          <w:sz w:val="28"/>
          <w:szCs w:val="28"/>
        </w:rPr>
        <w:t xml:space="preserve"> обязательная маркировка духов и туалетной воды.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b/>
          <w:bCs/>
          <w:sz w:val="28"/>
          <w:szCs w:val="28"/>
          <w:u w:val="single"/>
        </w:rPr>
        <w:t>Какая парфюмерия попадает под обязательную маркировку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lastRenderedPageBreak/>
        <w:t>Согласно Распоряжению Правительства Российской Федерации от 28 апреля 2018 года № 792-р необходимо промаркировать средствами идентификации парфюмерию, соответствующую кодам ТН ВЭД ЕАЭС – 3303 00 и ОКПД 2 группы 20.42.11 (духи, вода туалетная, одеколоны).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Не требуется маркировать</w:t>
      </w:r>
      <w:hyperlink r:id="rId5" w:anchor="_ftn2" w:tgtFrame="_blank" w:history="1">
        <w:r w:rsidRPr="00773D1C">
          <w:rPr>
            <w:rStyle w:val="a3"/>
            <w:color w:val="auto"/>
            <w:sz w:val="28"/>
            <w:szCs w:val="28"/>
          </w:rPr>
          <w:t>[2]</w:t>
        </w:r>
      </w:hyperlink>
      <w:r w:rsidRPr="00773D1C">
        <w:rPr>
          <w:sz w:val="28"/>
          <w:szCs w:val="28"/>
        </w:rPr>
        <w:t>: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выставочные и экспериментальные образцы парфюмерной продукции, демонстрируемые в рамках международных выставок и ярмарок, и не предназначенные для продажи;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рекламные и маркетинговые образцы парфюмерной продукции, не предназначенные для продажи;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тестеры и пробники парфюмерной продукции, не предназначенные для продажи;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образцы парфюмерной продукции объемом до 3 миллилитров включительно.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b/>
          <w:bCs/>
          <w:sz w:val="28"/>
          <w:szCs w:val="28"/>
          <w:u w:val="single"/>
        </w:rPr>
        <w:t>Сроки маркировки парфюмерии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с 1 октября 2020 года участникам оборота парфюмерной продукции следует сообщать в Национальную систему цифровой маркировки ЧЕСТНЫЙ ЗНАК обо всех операциях с товаром: производстве, импорте, приемке, продаже. С этой же даты запрещено продавать немаркированные товары, произведенные после 1 октября 2020 года.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до 30 сентября 2021 года можно распродавать немаркированные остатки парфюмерной продукции, которые произвели или ввезли на территорию Российской Федерации до 1 октября 2020 года.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- до 1 апреля 2021 года разрешено продавать комплекты и наборы товаров, включающих парфюмерную продукцию, без маркировки и внесения сведений о таких комплектах и наборах в систему ЧЕСТНЫЙ ЗНАК.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b/>
          <w:bCs/>
          <w:sz w:val="28"/>
          <w:szCs w:val="28"/>
          <w:u w:val="single"/>
        </w:rPr>
        <w:t>Действия потребителя при отсутствии маркировки духов и парфюмерной продукции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Чтобы узнать, прослеживается ли товар в системе маркировки, необходимо установить на мобильное устройство </w:t>
      </w:r>
      <w:hyperlink r:id="rId6" w:tgtFrame="_blank" w:history="1">
        <w:r w:rsidRPr="00AE4A99">
          <w:rPr>
            <w:rStyle w:val="a3"/>
            <w:b/>
            <w:bCs/>
            <w:color w:val="auto"/>
            <w:sz w:val="28"/>
            <w:szCs w:val="28"/>
          </w:rPr>
          <w:t>приложение «Честный ЗНАК»</w:t>
        </w:r>
      </w:hyperlink>
      <w:r w:rsidRPr="00AE4A99">
        <w:rPr>
          <w:b/>
          <w:bCs/>
          <w:sz w:val="28"/>
          <w:szCs w:val="28"/>
        </w:rPr>
        <w:t> </w:t>
      </w:r>
      <w:r w:rsidRPr="00773D1C">
        <w:rPr>
          <w:sz w:val="28"/>
          <w:szCs w:val="28"/>
        </w:rPr>
        <w:t xml:space="preserve">и с его помощью отсканировать код маркировки товара. Данное действие позволяет </w:t>
      </w:r>
      <w:r w:rsidRPr="00773D1C">
        <w:rPr>
          <w:sz w:val="28"/>
          <w:szCs w:val="28"/>
        </w:rPr>
        <w:lastRenderedPageBreak/>
        <w:t xml:space="preserve">покупателю самостоятельно удостовериться в легальности происхождения товара, а также получить </w:t>
      </w:r>
      <w:proofErr w:type="gramStart"/>
      <w:r w:rsidRPr="00773D1C">
        <w:rPr>
          <w:sz w:val="28"/>
          <w:szCs w:val="28"/>
        </w:rPr>
        <w:t>данные</w:t>
      </w:r>
      <w:proofErr w:type="gramEnd"/>
      <w:r w:rsidRPr="00773D1C">
        <w:rPr>
          <w:sz w:val="28"/>
          <w:szCs w:val="28"/>
        </w:rPr>
        <w:t xml:space="preserve"> как о самом товаре, так и о его производителе.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Если при проверке через приложение «Честный ЗНАК» выявлена ошибка кода, информация о товаре отсутствует, либо товар не соответствует описанию в приложении, то потребитель вправе сообщить о таком нарушении.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b/>
          <w:bCs/>
          <w:sz w:val="28"/>
          <w:szCs w:val="28"/>
        </w:rPr>
        <w:t>5. Ознакомьтесь с потребительскими свойствами товара до его приобретения.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 xml:space="preserve">Если вы приобретаете парфюмерию или косметику непосредственно у продавца в магазине (не </w:t>
      </w:r>
      <w:proofErr w:type="spellStart"/>
      <w:r w:rsidRPr="00773D1C">
        <w:rPr>
          <w:sz w:val="28"/>
          <w:szCs w:val="28"/>
        </w:rPr>
        <w:t>онлайн</w:t>
      </w:r>
      <w:proofErr w:type="spellEnd"/>
      <w:r w:rsidRPr="00773D1C">
        <w:rPr>
          <w:sz w:val="28"/>
          <w:szCs w:val="28"/>
        </w:rPr>
        <w:t>), по возможности ознакомьтесь с основными свойствами, характеризующими выбранный товар до того, как совершите покупку.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По правилам продажи покупателю должна быть предоставлена такая возможность. Ознакомьтесь с запахом духов, одеколона или туалетной воды, а также иной парфюмерной продукцией с использованием для этого бумажных листков, лакмусовых бумажек, пропитанных душистой жидкостью, образцов,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 xml:space="preserve">Однако при использовании, например, косметических тестеров, расположенных в торговых залах магазинов, следует учесть, что нанесение косметического средства из тестера, например, на глаза или губы может быть не безопасно. Поэтому для того, чтобы определить, как будет выглядеть на коже </w:t>
      </w:r>
      <w:proofErr w:type="gramStart"/>
      <w:r w:rsidRPr="00773D1C">
        <w:rPr>
          <w:sz w:val="28"/>
          <w:szCs w:val="28"/>
        </w:rPr>
        <w:t>то</w:t>
      </w:r>
      <w:proofErr w:type="gramEnd"/>
      <w:r w:rsidRPr="00773D1C">
        <w:rPr>
          <w:sz w:val="28"/>
          <w:szCs w:val="28"/>
        </w:rPr>
        <w:t xml:space="preserve"> или иное средство декоративной косметики, достаточно нанести образец на тыльную сторону ладони, использовав при этом одноразовые ватный диск, палочку или салфетку.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По возможности выбирайте парфюмерную продукцию с особой осмотрительностью в отношении её потребительских свойств, поскольку предусмотренное статьей 25 Закона «О защите прав потребителей» право на обмен товара надлежащего качества (в соответствии с постановлением Правительства Российской Федерации от 31.12.2020 № 2463</w:t>
      </w:r>
      <w:hyperlink r:id="rId7" w:anchor="_ftn3" w:tgtFrame="_blank" w:history="1">
        <w:r w:rsidRPr="00AE4A99">
          <w:rPr>
            <w:rStyle w:val="a3"/>
            <w:color w:val="auto"/>
            <w:sz w:val="28"/>
            <w:szCs w:val="28"/>
          </w:rPr>
          <w:t>[3]</w:t>
        </w:r>
      </w:hyperlink>
      <w:r w:rsidRPr="00773D1C">
        <w:rPr>
          <w:sz w:val="28"/>
          <w:szCs w:val="28"/>
        </w:rPr>
        <w:t>) на парфюмерно-косметические изделия не распространяется.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b/>
          <w:bCs/>
          <w:sz w:val="28"/>
          <w:szCs w:val="28"/>
        </w:rPr>
        <w:lastRenderedPageBreak/>
        <w:t>6. Осмотрите сам флакон.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 xml:space="preserve">Это вы сможете сделать уже только после приобретения товара. При продаже товара в упаковке с целлофановой оберткой или фирменной лентой покупателю должно быть </w:t>
      </w:r>
      <w:proofErr w:type="gramStart"/>
      <w:r w:rsidRPr="00773D1C">
        <w:rPr>
          <w:sz w:val="28"/>
          <w:szCs w:val="28"/>
        </w:rPr>
        <w:t>предложено</w:t>
      </w:r>
      <w:proofErr w:type="gramEnd"/>
      <w:r w:rsidRPr="00773D1C">
        <w:rPr>
          <w:sz w:val="28"/>
          <w:szCs w:val="28"/>
        </w:rPr>
        <w:t xml:space="preserve"> проверить содержимое упаковки путем снятия целлофана или фирменной ленты. При этом учтите, что аэрозольная упаковка проверяется продавцом в присутствии покупателя. Как правило, только что распакованный флакон </w:t>
      </w:r>
      <w:proofErr w:type="spellStart"/>
      <w:r w:rsidRPr="00773D1C">
        <w:rPr>
          <w:sz w:val="28"/>
          <w:szCs w:val="28"/>
        </w:rPr>
        <w:t>парфюма</w:t>
      </w:r>
      <w:proofErr w:type="spellEnd"/>
      <w:r w:rsidRPr="00773D1C">
        <w:rPr>
          <w:sz w:val="28"/>
          <w:szCs w:val="28"/>
        </w:rPr>
        <w:t>, снабженный пульверизатором, первые два «</w:t>
      </w:r>
      <w:proofErr w:type="spellStart"/>
      <w:r w:rsidRPr="00773D1C">
        <w:rPr>
          <w:sz w:val="28"/>
          <w:szCs w:val="28"/>
        </w:rPr>
        <w:t>пшика</w:t>
      </w:r>
      <w:proofErr w:type="spellEnd"/>
      <w:r w:rsidRPr="00773D1C">
        <w:rPr>
          <w:sz w:val="28"/>
          <w:szCs w:val="28"/>
        </w:rPr>
        <w:t>» выдает холостыми, без своего содержимого.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b/>
          <w:bCs/>
          <w:sz w:val="28"/>
          <w:szCs w:val="28"/>
        </w:rPr>
        <w:t>7. Выбирайте места покупки сознательно.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Во избежание рисков, связанных с причинением вреда своему здоровью, финансам и настроению, не приобретайте парфюмерно-косметическую продукцию у случайных лиц, уличных торговцев, а также вне стационарных мест торговли или в павильонах, где до покупателя не доведены достоверные сведения об организации (продавце), адресе и режиме работы.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b/>
          <w:bCs/>
          <w:sz w:val="28"/>
          <w:szCs w:val="28"/>
        </w:rPr>
        <w:t>8. Контролируйте продавца, совершая покупку дистанционно.</w:t>
      </w:r>
    </w:p>
    <w:p w:rsid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Продавец или уполномоченное им лицо вправе ознакомить потребителя, заключившего договор розничной купли-продажи дистанционным способом продажи товара, с приобретаемым товаром до его передачи потребителю. Однако, в любом случае, приобретая товар дистанционным способом (например, через Интернет), потребитель (после получения продавцом сообщения потребителя о намерении заключить договор розничной купли-продажи) должен получить от продавца подтверждение заключения такого договора на условиях оферты, содержащей все существенные условия договора.</w:t>
      </w:r>
    </w:p>
    <w:p w:rsidR="00773D1C" w:rsidRPr="00773D1C" w:rsidRDefault="00773D1C" w:rsidP="00773D1C">
      <w:pPr>
        <w:rPr>
          <w:sz w:val="28"/>
          <w:szCs w:val="28"/>
        </w:rPr>
      </w:pPr>
      <w:proofErr w:type="gramStart"/>
      <w:r w:rsidRPr="00773D1C">
        <w:rPr>
          <w:sz w:val="28"/>
          <w:szCs w:val="28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 и (или) странице сайта в сети Интернет, и (или) в программе для электронных вычислительных машин, и (или) в средствах связи (телевизионной, почтовой, радиосвязи и</w:t>
      </w:r>
      <w:proofErr w:type="gramEnd"/>
      <w:r w:rsidRPr="00773D1C">
        <w:rPr>
          <w:sz w:val="28"/>
          <w:szCs w:val="28"/>
        </w:rPr>
        <w:t xml:space="preserve"> др.), и (или) в каталогах, буклетах, проспектах, на фотографиях или в других информационных материалах.</w:t>
      </w:r>
    </w:p>
    <w:p w:rsidR="00773D1C" w:rsidRPr="00773D1C" w:rsidRDefault="00773D1C" w:rsidP="00773D1C">
      <w:pPr>
        <w:rPr>
          <w:sz w:val="28"/>
          <w:szCs w:val="28"/>
        </w:rPr>
      </w:pPr>
      <w:proofErr w:type="gramStart"/>
      <w:r w:rsidRPr="00773D1C">
        <w:rPr>
          <w:sz w:val="28"/>
          <w:szCs w:val="28"/>
        </w:rPr>
        <w:lastRenderedPageBreak/>
        <w:t>Кроме того, на сегодняшний день законодательством Российской Федерации в области защиты прав потребителей прямо установлена обязанность продавца указывать полное фирменное наименование (наименование) организации (если это юридическое лицо), фамилию, имя, отчество (при наличии) (если это индивидуальный предприниматель), а также основной государственный регистрационный номер, адрес и место нахождения, адрес электронной почты и (или) номер телефона.</w:t>
      </w:r>
      <w:proofErr w:type="gramEnd"/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Указанная информация доводится до потребителя посредством ее размещения на сайте (при его наличии) и (или) странице сайта в сети Интернет (при его наличии), а также в программе для электронных вычислительных машин (при ее наличии).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t>Воздержитесь от дистанционной покупки товаров у продавца, не предоставившего потребителю сведения о себе.</w:t>
      </w:r>
    </w:p>
    <w:p w:rsidR="00773D1C" w:rsidRPr="00773D1C" w:rsidRDefault="00773D1C" w:rsidP="00773D1C">
      <w:pPr>
        <w:rPr>
          <w:sz w:val="28"/>
          <w:szCs w:val="28"/>
        </w:rPr>
      </w:pPr>
      <w:r w:rsidRPr="00773D1C">
        <w:rPr>
          <w:sz w:val="28"/>
          <w:szCs w:val="28"/>
        </w:rPr>
        <w:pict>
          <v:rect id="_x0000_i1025" style="width:154.35pt;height:.75pt" o:hrpct="330" o:hrstd="t" o:hr="t" fillcolor="#b4b4b4" stroked="f"/>
        </w:pict>
      </w:r>
    </w:p>
    <w:p w:rsidR="00773D1C" w:rsidRPr="00773D1C" w:rsidRDefault="00773D1C" w:rsidP="00773D1C">
      <w:pPr>
        <w:rPr>
          <w:sz w:val="28"/>
          <w:szCs w:val="28"/>
        </w:rPr>
      </w:pPr>
      <w:hyperlink r:id="rId8" w:anchor="_ftnref1" w:tgtFrame="_blank" w:history="1">
        <w:r w:rsidRPr="00773D1C">
          <w:rPr>
            <w:rStyle w:val="a3"/>
            <w:color w:val="auto"/>
            <w:sz w:val="28"/>
            <w:szCs w:val="28"/>
          </w:rPr>
          <w:t>[1]</w:t>
        </w:r>
      </w:hyperlink>
      <w:r w:rsidRPr="00773D1C">
        <w:rPr>
          <w:sz w:val="28"/>
          <w:szCs w:val="28"/>
        </w:rPr>
        <w:t xml:space="preserve"> Постановление Правительства Российской Федерации от 31 декабря 2019 года № 1957 «Об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 (далее – Правила № 1957).</w:t>
      </w:r>
    </w:p>
    <w:p w:rsidR="00773D1C" w:rsidRPr="00773D1C" w:rsidRDefault="00773D1C" w:rsidP="00773D1C">
      <w:pPr>
        <w:rPr>
          <w:sz w:val="28"/>
          <w:szCs w:val="28"/>
        </w:rPr>
      </w:pPr>
      <w:hyperlink r:id="rId9" w:anchor="_ftnref2" w:tgtFrame="_blank" w:history="1">
        <w:r w:rsidRPr="00773D1C">
          <w:rPr>
            <w:rStyle w:val="a3"/>
            <w:color w:val="auto"/>
            <w:sz w:val="28"/>
            <w:szCs w:val="28"/>
          </w:rPr>
          <w:t>[2]</w:t>
        </w:r>
      </w:hyperlink>
      <w:r w:rsidRPr="00773D1C">
        <w:rPr>
          <w:sz w:val="28"/>
          <w:szCs w:val="28"/>
        </w:rPr>
        <w:t xml:space="preserve"> См. пункт 3 Правил маркировки товаров, подлежащих обязательной маркировке средствами идентификации, утвержденных Постановлением Правительства Российской Федерации от 26.04.2019 № 515, пункт 3       Правил № 1957.</w:t>
      </w:r>
    </w:p>
    <w:p w:rsidR="00BA4D6C" w:rsidRPr="00AE4A99" w:rsidRDefault="00773D1C">
      <w:pPr>
        <w:rPr>
          <w:sz w:val="28"/>
          <w:szCs w:val="28"/>
        </w:rPr>
      </w:pPr>
      <w:hyperlink r:id="rId10" w:anchor="_ftnref3" w:tgtFrame="_blank" w:history="1">
        <w:proofErr w:type="gramStart"/>
        <w:r w:rsidRPr="00773D1C">
          <w:rPr>
            <w:rStyle w:val="a3"/>
            <w:color w:val="auto"/>
            <w:sz w:val="28"/>
            <w:szCs w:val="28"/>
          </w:rPr>
          <w:t>[3]</w:t>
        </w:r>
      </w:hyperlink>
      <w:r w:rsidRPr="00773D1C">
        <w:rPr>
          <w:sz w:val="28"/>
          <w:szCs w:val="28"/>
        </w:rPr>
        <w:t xml:space="preserve"> Постановление Правительства Российской Федерации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</w:t>
      </w:r>
      <w:proofErr w:type="gramEnd"/>
      <w:r w:rsidRPr="00773D1C">
        <w:rPr>
          <w:sz w:val="28"/>
          <w:szCs w:val="28"/>
        </w:rPr>
        <w:t xml:space="preserve"> некоторые акты Правительства Российской Федерации».</w:t>
      </w:r>
    </w:p>
    <w:sectPr w:rsidR="00BA4D6C" w:rsidRPr="00A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73D1C"/>
    <w:rsid w:val="00773D1C"/>
    <w:rsid w:val="00AE4A99"/>
    <w:rsid w:val="00BA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73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8%D1%80%D0%B8%D0%BD%D0%B0\Downloads\%D0%BF%D0%B0%D0%BC%D1%8F%D1%82%D0%BA%D0%B0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%D0%98%D1%80%D0%B8%D0%BD%D0%B0\Downloads\%D0%BF%D0%B0%D0%BC%D1%8F%D1%82%D0%BA%D0%B0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potrebitelyam/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%D0%98%D1%80%D0%B8%D0%BD%D0%B0\Downloads\%D0%BF%D0%B0%D0%BC%D1%8F%D1%82%D0%BA%D0%B0.docx" TargetMode="External"/><Relationship Id="rId10" Type="http://schemas.openxmlformats.org/officeDocument/2006/relationships/hyperlink" Target="file:///C:\Users\%D0%98%D1%80%D0%B8%D0%BD%D0%B0\Downloads\%D0%BF%D0%B0%D0%BC%D1%8F%D1%82%D0%BA%D0%B0.docx" TargetMode="External"/><Relationship Id="rId4" Type="http://schemas.openxmlformats.org/officeDocument/2006/relationships/hyperlink" Target="file:///C:\Users\%D0%98%D1%80%D0%B8%D0%BD%D0%B0\Downloads\%D0%BF%D0%B0%D0%BC%D1%8F%D1%82%D0%BA%D0%B0.docx" TargetMode="External"/><Relationship Id="rId9" Type="http://schemas.openxmlformats.org/officeDocument/2006/relationships/hyperlink" Target="file:///C:\Users\%D0%98%D1%80%D0%B8%D0%BD%D0%B0\Downloads\%D0%BF%D0%B0%D0%BC%D1%8F%D1%82%D0%BA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2022-02-10T07:25:00Z</dcterms:created>
  <dcterms:modified xsi:type="dcterms:W3CDTF">2022-02-10T07:38:00Z</dcterms:modified>
</cp:coreProperties>
</file>