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4F" w:rsidRPr="0051374F" w:rsidRDefault="0051374F" w:rsidP="0051374F">
      <w:pPr>
        <w:shd w:val="clear" w:color="auto" w:fill="FFFFFF"/>
        <w:spacing w:before="240"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51374F">
        <w:rPr>
          <w:rFonts w:ascii="Verdana" w:eastAsia="Times New Roman" w:hAnsi="Verdana" w:cs="Times New Roman"/>
          <w:b/>
          <w:bCs/>
          <w:color w:val="000000"/>
          <w:kern w:val="36"/>
          <w:sz w:val="43"/>
          <w:lang w:eastAsia="ru-RU"/>
        </w:rPr>
        <w:t>Памятка потребителю: выбор безопасных детских игрушек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Требования к безопасности игрушек установлены техническим регламентом Таможенного союза </w:t>
      </w:r>
      <w:proofErr w:type="gramStart"/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ТР</w:t>
      </w:r>
      <w:proofErr w:type="gramEnd"/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ТС 008/2011 «О безопасности игрушек», принятым Решением Комиссии Таможенного союза от 23.09.2011 № 798 (далее – Технический регламент), вступившим в силу 1 июля 2012 года.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Согласно Техническому регламенту игрушка – это изделие или материал, предназначенный для игры ребенка (детей) в возрасте до 14 лет.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При выборе игрушек необходимо обращать внимание на материалы, из которых они изготовлены. Прежде всего, они должны быть чистыми и без загрязнений.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игрушках для детей до 3 лет не допускается применение натурального меха и кожи, стекла, фарфора, ворсованной резины, картона и бумаги, набивочных гранул размером 3 мм и менее без внутреннего чехла, наполнителей игрушек, подобных погремушкам, размер которых во влажной среде увеличивается более чем на 5%.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Защитно-декоративное покрытие игрушек должно быть стойким к влажной обработке, действию слюны и пота.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Игрушки не должны иметь слишком интенсивные запах и привкус.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Доступные кромки, детали, зазоры, выступы, шнуры, канаты и крепления игрушек должны исключать риск травмы у ребенка. Приводные механизмы должны быть не доступны для ребенка.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Игрушка и съемные детали игрушки, предназначенной для детей в возрасте до 3 лет, а также игрушки, непосредственно закрепляемые на пищевых продуктах, должны иметь такие размеры, чтобы избежать попадания в верхние дыхательные пути. Игрушка, находящаяся в пищевых продуктах и (или) поступающая в розничную торговлю вместе с пищевым продуктом, должна иметь собственную упаковку. Допускается наружное размещение пластмассовой игрушки без упаковки.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Мягконабивная игрушка не должна содержать в наполнителе твердых или острых инородных предметов. Швы мягконабивной игрушки должны быть прочными.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Игрушка, внутри которой может поместиться ребенок и представляющая для него замкнутое пространство, должна иметь отверстие для выхода легко открываемое изнутри, а также иметь поверхность с вентиляционными отверстиями.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Игрушка, предназначенная для езды, должна быть прочной и устойчивой (кроме двухколесных велосипедов). Игрушки с механическим или электрическим приводом, имеющие механизм свободного хода или нейтральное положение коробки передач, должны иметь тормозное устройство. Игрушки с цепной передачей должны быть оборудованы защитными щитками. Опорные поверхности должны иметь элементы, предотвращающие соскальзывание.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игрушках, содержащих нагревательные элементы, температура всех доступных для контакта поверхностей не должна приводить к ожогу при соприкосновении.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Поверхностное окрашивание и роспись игрушек, контактирующих со ртом ребенка, </w:t>
      </w:r>
      <w:proofErr w:type="gramStart"/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недопустимы</w:t>
      </w:r>
      <w:proofErr w:type="gramEnd"/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настольно-печатных игрушках текст и рисунки должны быть четкими и контрастными по отношению к основному фону.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игрушках запрещается использование систем лазерного излучения всех типов.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Детали игрушек, контактирующие или способные контактировать с источником электрической энергии, а также кабели, провода должны быть изолированы и механически защищены с целью исключения риска поражения электрическим током.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lastRenderedPageBreak/>
        <w:t>Шнуры для летающих игрушек должны быть неметаллическими.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Игрушка должна иметь индивидуальную и (или) групповую упаковку.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Маркировка игрушек должна быть на русском языке, достоверной, проверяемой, четкой, легко читаемой, доступной для осмотра, идентификации и содержать следующую информацию:</w:t>
      </w:r>
    </w:p>
    <w:p w:rsidR="0051374F" w:rsidRPr="0051374F" w:rsidRDefault="0051374F" w:rsidP="0051374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наименование игрушки;</w:t>
      </w:r>
    </w:p>
    <w:p w:rsidR="0051374F" w:rsidRPr="0051374F" w:rsidRDefault="0051374F" w:rsidP="0051374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наименование страны, где изготовлена игрушка;</w:t>
      </w:r>
    </w:p>
    <w:p w:rsidR="0051374F" w:rsidRPr="0051374F" w:rsidRDefault="0051374F" w:rsidP="0051374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наименование и местонахождение изготовителя (уполномоченного изготовителем лица), импортера, информацию для связи с ними;</w:t>
      </w:r>
    </w:p>
    <w:p w:rsidR="0051374F" w:rsidRPr="0051374F" w:rsidRDefault="0051374F" w:rsidP="0051374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товарный знак изготовителя (при наличии);</w:t>
      </w:r>
      <w:r>
        <w:rPr>
          <w:rFonts w:ascii="Verdana" w:eastAsia="Times New Roman" w:hAnsi="Verdana" w:cs="Times New Roman"/>
          <w:noProof/>
          <w:color w:val="4F4F4F"/>
          <w:sz w:val="18"/>
          <w:szCs w:val="18"/>
          <w:lang w:eastAsia="ru-RU"/>
        </w:rPr>
        <w:drawing>
          <wp:inline distT="0" distB="0" distL="0" distR="0">
            <wp:extent cx="3244850" cy="3244850"/>
            <wp:effectExtent l="19050" t="0" r="0" b="0"/>
            <wp:docPr id="1" name="Рисунок 1" descr="http://22.rospotrebnadzor.ru/image/image_gallery?img_id=996316&amp;t=16541515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2.rospotrebnadzor.ru/image/image_gallery?img_id=996316&amp;t=16541515324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74F" w:rsidRPr="0051374F" w:rsidRDefault="0051374F" w:rsidP="0051374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минимальный возраст ребенка, для которого предназначена игрушка или пиктограмма, обозначающая возраст ребенка;</w:t>
      </w:r>
    </w:p>
    <w:p w:rsidR="0051374F" w:rsidRPr="0051374F" w:rsidRDefault="0051374F" w:rsidP="0051374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основной конструкционный материал (для детей до 3 лет) (при необходимости);</w:t>
      </w:r>
    </w:p>
    <w:p w:rsidR="0051374F" w:rsidRPr="0051374F" w:rsidRDefault="0051374F" w:rsidP="0051374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способы ухода за игрушкой (при необходимости);</w:t>
      </w:r>
    </w:p>
    <w:p w:rsidR="0051374F" w:rsidRPr="0051374F" w:rsidRDefault="0051374F" w:rsidP="0051374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дата изготовления (месяц, год);</w:t>
      </w:r>
    </w:p>
    <w:p w:rsidR="0051374F" w:rsidRPr="0051374F" w:rsidRDefault="0051374F" w:rsidP="0051374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срок службы или срок годности (при их установлении);</w:t>
      </w:r>
    </w:p>
    <w:p w:rsidR="0051374F" w:rsidRPr="0051374F" w:rsidRDefault="0051374F" w:rsidP="0051374F">
      <w:pPr>
        <w:numPr>
          <w:ilvl w:val="0"/>
          <w:numId w:val="1"/>
        </w:numPr>
        <w:shd w:val="clear" w:color="auto" w:fill="FFFFFF"/>
        <w:spacing w:after="0" w:line="250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условия хранения (при необходимости).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зависимости от вида игрушки в содержание маркировки, включают: комплектность (для наборов), правила эксплуатации игрушки, способы гигиенической обработки, меры безопасности при обращении с игрушкой, предупредительные надписи, инструкцию по сборке.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Предупредительная информация должна содержать указание об особых мерах предосторожности при использовании.</w:t>
      </w:r>
    </w:p>
    <w:p w:rsid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Маркировка и техническая документация, поставляемая в комплекте с игрушкой, выполняются на русском языке.</w:t>
      </w:r>
    </w:p>
    <w:p w:rsidR="0051374F" w:rsidRP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Игрушки, соответствующие требованиям безопасности технического регламента Таможенного союза и прошедшие подтверждение соответствия, должны иметь маркировку</w:t>
      </w:r>
      <w:r w:rsidRPr="0051374F">
        <w:rPr>
          <w:rFonts w:ascii="Verdana" w:eastAsia="Times New Roman" w:hAnsi="Verdana" w:cs="Times New Roman"/>
          <w:color w:val="4F4F4F"/>
          <w:sz w:val="18"/>
          <w:lang w:eastAsia="ru-RU"/>
        </w:rPr>
        <w:t> </w:t>
      </w:r>
      <w:hyperlink r:id="rId6" w:history="1">
        <w:r w:rsidRPr="0051374F">
          <w:rPr>
            <w:rFonts w:ascii="Verdana" w:eastAsia="Times New Roman" w:hAnsi="Verdana" w:cs="Times New Roman"/>
            <w:color w:val="005DB7"/>
            <w:sz w:val="18"/>
            <w:u w:val="single"/>
            <w:lang w:eastAsia="ru-RU"/>
          </w:rPr>
          <w:t>единым знаком</w:t>
        </w:r>
      </w:hyperlink>
      <w:r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</w:t>
      </w:r>
      <w:r w:rsidRPr="0051374F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обращения продукции на рынке государств-членов Таможенного союза.</w:t>
      </w:r>
    </w:p>
    <w:p w:rsidR="0051374F" w:rsidRDefault="0051374F" w:rsidP="0051374F">
      <w:pPr>
        <w:shd w:val="clear" w:color="auto" w:fill="FFFFFF"/>
        <w:spacing w:after="240" w:line="250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F4F4F"/>
          <w:sz w:val="18"/>
          <w:szCs w:val="18"/>
          <w:lang w:eastAsia="ru-RU"/>
        </w:rPr>
        <w:drawing>
          <wp:inline distT="0" distB="0" distL="0" distR="0">
            <wp:extent cx="1141095" cy="582930"/>
            <wp:effectExtent l="19050" t="0" r="1905" b="0"/>
            <wp:docPr id="2" name="Рисунок 2" descr="http://22.rospotrebnadzor.ru/image/image_gallery?img_id=996320&amp;t=1654151563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2.rospotrebnadzor.ru/image/image_gallery?img_id=996320&amp;t=16541515633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2B3" w:rsidRDefault="005822B3"/>
    <w:sectPr w:rsidR="005822B3" w:rsidSect="0051374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767"/>
    <w:multiLevelType w:val="multilevel"/>
    <w:tmpl w:val="101A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1374F"/>
    <w:rsid w:val="00511B8B"/>
    <w:rsid w:val="0051374F"/>
    <w:rsid w:val="0058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B3"/>
  </w:style>
  <w:style w:type="paragraph" w:styleId="1">
    <w:name w:val="heading 1"/>
    <w:basedOn w:val="a"/>
    <w:link w:val="10"/>
    <w:uiPriority w:val="9"/>
    <w:qFormat/>
    <w:rsid w:val="00513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7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1374F"/>
    <w:rPr>
      <w:b/>
      <w:bCs/>
    </w:rPr>
  </w:style>
  <w:style w:type="paragraph" w:styleId="a4">
    <w:name w:val="Normal (Web)"/>
    <w:basedOn w:val="a"/>
    <w:uiPriority w:val="99"/>
    <w:semiHidden/>
    <w:unhideWhenUsed/>
    <w:rsid w:val="0051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374F"/>
  </w:style>
  <w:style w:type="character" w:styleId="a5">
    <w:name w:val="Hyperlink"/>
    <w:basedOn w:val="a0"/>
    <w:uiPriority w:val="99"/>
    <w:semiHidden/>
    <w:unhideWhenUsed/>
    <w:rsid w:val="005137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6049375F368B298542D623140C5F856ED72F1EFC2884EA7058952B7E5Fv9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4082</Characters>
  <Application>Microsoft Office Word</Application>
  <DocSecurity>0</DocSecurity>
  <Lines>34</Lines>
  <Paragraphs>9</Paragraphs>
  <ScaleCrop>false</ScaleCrop>
  <Company>Управление Роспотребнадзора по Алтайскому краю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2</cp:revision>
  <dcterms:created xsi:type="dcterms:W3CDTF">2022-06-03T03:21:00Z</dcterms:created>
  <dcterms:modified xsi:type="dcterms:W3CDTF">2022-06-03T03:23:00Z</dcterms:modified>
</cp:coreProperties>
</file>