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Согласно ФЗ 54 выделяется два вида особых местностей: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b/>
          <w:bCs/>
          <w:sz w:val="24"/>
        </w:rPr>
      </w:pPr>
      <w:r>
        <w:rPr>
          <w:rFonts w:ascii="Times New Roman" w:hAnsi="Times New Roman" w:cs="Times New Roman" w:eastAsia="Times New Roman"/>
          <w:b/>
          <w:bCs/>
          <w:sz w:val="24"/>
        </w:rPr>
        <w:t xml:space="preserve">1.Отдаленные и труднодоступные местности.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 отдаленных и труднодос</w:t>
      </w:r>
      <w:r>
        <w:rPr>
          <w:rFonts w:ascii="Times New Roman" w:hAnsi="Times New Roman" w:cs="Times New Roman" w:eastAsia="Times New Roman"/>
          <w:sz w:val="24"/>
        </w:rPr>
        <w:t xml:space="preserve">тупных местностях УОТ вправе не применять контрольно-кассовую технику (Статья 2 п. 3 ФЗ 54).  Исключение позволяющее не использовать ККТ в отдаленных и труднодоступных местностях не распространяется на торговлю подакцизными товарами (пункт 8 ст. 2 54-ФЗ).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Перечень отдаленных или труднодоступных местностей утверждается органом государственно</w:t>
      </w:r>
      <w:r>
        <w:rPr>
          <w:rFonts w:ascii="Times New Roman" w:hAnsi="Times New Roman" w:cs="Times New Roman" w:eastAsia="Times New Roman"/>
          <w:sz w:val="24"/>
        </w:rPr>
        <w:t xml:space="preserve">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b/>
          <w:bCs/>
          <w:sz w:val="24"/>
        </w:rPr>
      </w:pPr>
      <w:r>
        <w:rPr>
          <w:rFonts w:ascii="Times New Roman" w:hAnsi="Times New Roman" w:cs="Times New Roman" w:eastAsia="Times New Roman"/>
          <w:b/>
          <w:bCs/>
          <w:sz w:val="24"/>
        </w:rPr>
        <w:t xml:space="preserve">2.Отдаленные от сетей связи местности.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 отдаленных от сетей связи местностях УОТ могут применять контрольно-кассовую технику в режиме, не пре</w:t>
      </w:r>
      <w:r>
        <w:rPr>
          <w:rFonts w:ascii="Times New Roman" w:hAnsi="Times New Roman" w:cs="Times New Roman" w:eastAsia="Times New Roman"/>
          <w:sz w:val="24"/>
        </w:rPr>
        <w:t xml:space="preserve">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 (Статья 2 п. 7 ФЗ 54) Т.е. использовать автономную контрольно-кассовую технику.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Перечень отдаленных </w:t>
      </w:r>
      <w:r>
        <w:rPr>
          <w:rFonts w:ascii="Times New Roman" w:hAnsi="Times New Roman" w:cs="Times New Roman" w:eastAsia="Times New Roman"/>
          <w:sz w:val="24"/>
        </w:rPr>
        <w:t xml:space="preserve">от сетей связи</w:t>
      </w:r>
      <w:r>
        <w:rPr>
          <w:rFonts w:ascii="Times New Roman" w:hAnsi="Times New Roman" w:cs="Times New Roman" w:eastAsia="Times New Roman"/>
          <w:sz w:val="24"/>
        </w:rPr>
        <w:t xml:space="preserve"> местностей утверждается органом государственно</w:t>
      </w:r>
      <w:r>
        <w:rPr>
          <w:rFonts w:ascii="Times New Roman" w:hAnsi="Times New Roman" w:cs="Times New Roman" w:eastAsia="Times New Roman"/>
          <w:sz w:val="24"/>
        </w:rPr>
        <w:t xml:space="preserve">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b/>
          <w:bCs/>
          <w:color w:val="FF0000"/>
          <w:sz w:val="24"/>
          <w:u w:val="single"/>
        </w:rPr>
      </w:pPr>
      <w:r>
        <w:rPr>
          <w:rFonts w:ascii="Times New Roman" w:hAnsi="Times New Roman" w:cs="Times New Roman" w:eastAsia="Times New Roman"/>
          <w:b/>
          <w:bCs/>
          <w:color w:val="FF0000"/>
          <w:sz w:val="24"/>
        </w:rPr>
        <w:t xml:space="preserve">Особенности работы с маркируемой молочной продукцией в </w:t>
      </w:r>
      <w:r>
        <w:rPr>
          <w:rFonts w:ascii="Times New Roman" w:hAnsi="Times New Roman" w:cs="Times New Roman" w:eastAsia="Times New Roman"/>
          <w:b/>
          <w:bCs/>
          <w:color w:val="FF0000"/>
          <w:sz w:val="24"/>
          <w:u w:val="single"/>
        </w:rPr>
        <w:t xml:space="preserve">отдаленных и труднодоступных местностях.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1"/>
        </w:numPr>
        <w:jc w:val="both"/>
        <w:rPr>
          <w:rFonts w:ascii="Times New Roman" w:hAnsi="Times New Roman" w:cs="Times New Roman" w:eastAsia="Times New Roman"/>
          <w:sz w:val="24"/>
          <w:u w:val="single"/>
        </w:rPr>
      </w:pPr>
      <w:r>
        <w:rPr>
          <w:rFonts w:ascii="Times New Roman" w:hAnsi="Times New Roman" w:cs="Times New Roman" w:eastAsia="Times New Roman"/>
          <w:sz w:val="24"/>
          <w:u w:val="single"/>
        </w:rPr>
        <w:t xml:space="preserve">Производство продукции в отдаленных и труднодоступных местностях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П. 65(1) </w:t>
      </w:r>
      <w:r>
        <w:rPr>
          <w:rFonts w:ascii="Times New Roman" w:hAnsi="Times New Roman" w:cs="Times New Roman" w:eastAsia="Times New Roman"/>
          <w:sz w:val="24"/>
        </w:rPr>
        <w:t xml:space="preserve">В случае производства молочной продукции в отдаленных или труднодоступных местностях маркировка молочной продукции производится в порядке, установленном разделами VI и VII Правил, т.е. требуется </w:t>
      </w:r>
      <w:r>
        <w:rPr>
          <w:rFonts w:ascii="Times New Roman" w:hAnsi="Times New Roman" w:cs="Times New Roman" w:eastAsia="Times New Roman"/>
          <w:sz w:val="24"/>
        </w:rPr>
        <w:t xml:space="preserve">выполнить</w:t>
      </w:r>
      <w:r>
        <w:rPr>
          <w:rFonts w:ascii="Times New Roman" w:hAnsi="Times New Roman" w:cs="Times New Roman" w:eastAsia="Times New Roman"/>
          <w:sz w:val="24"/>
        </w:rPr>
        <w:t xml:space="preserve"> описание </w:t>
      </w:r>
      <w:r>
        <w:rPr>
          <w:rFonts w:ascii="Times New Roman" w:hAnsi="Times New Roman" w:cs="Times New Roman" w:eastAsia="Times New Roman"/>
          <w:sz w:val="24"/>
        </w:rPr>
        <w:t xml:space="preserve">продукции</w:t>
      </w:r>
      <w:r>
        <w:rPr>
          <w:rFonts w:ascii="Times New Roman" w:hAnsi="Times New Roman" w:cs="Times New Roman" w:eastAsia="Times New Roman"/>
          <w:sz w:val="24"/>
        </w:rPr>
        <w:t xml:space="preserve"> в </w:t>
      </w:r>
      <w:r>
        <w:rPr>
          <w:rFonts w:ascii="Times New Roman" w:hAnsi="Times New Roman" w:cs="Times New Roman" w:eastAsia="Times New Roman"/>
          <w:sz w:val="24"/>
        </w:rPr>
        <w:t xml:space="preserve">национальном</w:t>
      </w:r>
      <w:r>
        <w:rPr>
          <w:rFonts w:ascii="Times New Roman" w:hAnsi="Times New Roman" w:cs="Times New Roman" w:eastAsia="Times New Roman"/>
          <w:sz w:val="24"/>
        </w:rPr>
        <w:t xml:space="preserve"> каталоге, </w:t>
      </w:r>
      <w:r>
        <w:rPr>
          <w:rFonts w:ascii="Times New Roman" w:hAnsi="Times New Roman" w:cs="Times New Roman" w:eastAsia="Times New Roman"/>
          <w:sz w:val="24"/>
        </w:rPr>
        <w:t xml:space="preserve">заказать</w:t>
      </w:r>
      <w:r>
        <w:rPr>
          <w:rFonts w:ascii="Times New Roman" w:hAnsi="Times New Roman" w:cs="Times New Roman" w:eastAsia="Times New Roman"/>
          <w:sz w:val="24"/>
        </w:rPr>
        <w:t xml:space="preserve"> коды маркировки для нее и замаркировать </w:t>
      </w:r>
      <w:r>
        <w:rPr>
          <w:rFonts w:ascii="Times New Roman" w:hAnsi="Times New Roman" w:cs="Times New Roman" w:eastAsia="Times New Roman"/>
          <w:sz w:val="24"/>
        </w:rPr>
        <w:t xml:space="preserve">продукцию</w:t>
      </w:r>
      <w:r>
        <w:rPr>
          <w:rFonts w:ascii="Times New Roman" w:hAnsi="Times New Roman" w:cs="Times New Roman" w:eastAsia="Times New Roman"/>
          <w:sz w:val="24"/>
        </w:rPr>
        <w:t xml:space="preserve"> подав </w:t>
      </w:r>
      <w:r>
        <w:rPr>
          <w:rFonts w:ascii="Times New Roman" w:hAnsi="Times New Roman" w:cs="Times New Roman" w:eastAsia="Times New Roman"/>
          <w:sz w:val="24"/>
        </w:rPr>
        <w:t xml:space="preserve">в систему отчет о нанесении.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При этом в качестве льготы предусмотрено что подавать сведения об обороте (переходе права собственности на данную продукцию) продукции, а также о розничной реализации если она обращается на территории</w:t>
      </w:r>
      <w:r>
        <w:rPr>
          <w:rFonts w:ascii="Times New Roman" w:hAnsi="Times New Roman" w:cs="Times New Roman" w:eastAsia="Times New Roman"/>
          <w:sz w:val="24"/>
        </w:rPr>
        <w:t xml:space="preserve"> отдаленных и труднодоступных местностях</w:t>
      </w:r>
      <w:r>
        <w:rPr>
          <w:rFonts w:ascii="Times New Roman" w:hAnsi="Times New Roman" w:cs="Times New Roman" w:eastAsia="Times New Roman"/>
          <w:sz w:val="24"/>
        </w:rPr>
        <w:t xml:space="preserve"> в систему 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не требуется.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1"/>
        </w:numPr>
        <w:jc w:val="both"/>
        <w:rPr>
          <w:rFonts w:ascii="Times New Roman" w:hAnsi="Times New Roman" w:cs="Times New Roman" w:eastAsia="Times New Roman"/>
          <w:sz w:val="24"/>
          <w:u w:val="single"/>
        </w:rPr>
      </w:pPr>
      <w:r>
        <w:rPr>
          <w:rFonts w:ascii="Times New Roman" w:hAnsi="Times New Roman" w:cs="Times New Roman" w:eastAsia="Times New Roman"/>
          <w:sz w:val="24"/>
          <w:u w:val="single"/>
        </w:rPr>
        <w:t xml:space="preserve">Вывоз продукции из отдаленных и труднодоступных местностей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 случае перемещения на остальную территорию Российской Федерации молочной продукции, до выст</w:t>
      </w:r>
      <w:r>
        <w:rPr>
          <w:rFonts w:ascii="Times New Roman" w:hAnsi="Times New Roman" w:cs="Times New Roman" w:eastAsia="Times New Roman"/>
          <w:sz w:val="24"/>
        </w:rPr>
        <w:t xml:space="preserve">авления молочной продукции в месте реализации (продажи), участники оборота молочной продукции, осуществляющие перемещение молочной продукции на остальную территорию Российской Федерации, представляют в информационную систему мониторинга следующие сведения: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а) идентификационный номер налогоплательщика участника оборота молочной продукции, осуществляющего ввод молочной продукции в оборот;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б) идентификационный номер налогоплательщика участника оборота молочной продукции, расположенного в отдаленной или труднодоступной местности;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в) коды идентификации потребительских упаковок, и (или) коды идентификации групповых упаковок, и (или) коды идентификации набора товаров.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До момента перемещения молочной продукции из отдаленных или труд</w:t>
      </w:r>
      <w:r>
        <w:rPr>
          <w:rFonts w:ascii="Times New Roman" w:hAnsi="Times New Roman" w:cs="Times New Roman" w:eastAsia="Times New Roman"/>
          <w:sz w:val="24"/>
        </w:rPr>
        <w:t xml:space="preserve">нодоступных местностей на остальную часть территории Российской Федерации участнику оборота молочной продукции, приобретающему молочную продукцию, обращающуюся на территории отдаленных или труднодоступных местностей, необходимо обеспечить ее ввод в оборот.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i/>
          <w:iCs/>
          <w:sz w:val="24"/>
        </w:rPr>
      </w:pPr>
      <w:r>
        <w:rPr>
          <w:rFonts w:ascii="Times New Roman" w:hAnsi="Times New Roman" w:cs="Times New Roman" w:eastAsia="Times New Roman"/>
          <w:i/>
          <w:iCs/>
          <w:sz w:val="24"/>
        </w:rPr>
        <w:t xml:space="preserve">(Функционал в системе находится в разработка, пока это возможно делать через обращение в СТП)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u w:val="single"/>
        </w:rPr>
      </w:pPr>
      <w:r>
        <w:rPr>
          <w:rFonts w:ascii="Times New Roman" w:hAnsi="Times New Roman" w:cs="Times New Roman" w:eastAsia="Times New Roman"/>
          <w:sz w:val="24"/>
          <w:u w:val="single"/>
        </w:rPr>
        <w:t xml:space="preserve">Продажа в отдаленны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е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 и труднодоступны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е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 местности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 случае если маркированная молочная продукция поставляется в отдаленные или труднодоступные местности, участники оборота молочной продукции, продающие </w:t>
      </w:r>
      <w:r>
        <w:rPr>
          <w:rFonts w:ascii="Times New Roman" w:hAnsi="Times New Roman" w:cs="Times New Roman" w:eastAsia="Times New Roman"/>
          <w:sz w:val="24"/>
        </w:rPr>
        <w:t xml:space="preserve">молочную продукцию в отдаленные или труднодоступные местности, в срок не более 3 рабочих дней со дня отгрузки (передачи или приемки) молочной продукции осуществляют ее вывод из оборота и представляют в информационную систему мониторинга следующие сведения: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2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идентификационный номер налогоплательщика участника оборота товаров, осуществляющего вывод молочной продукции из оборота;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2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идентификационный номер налогоплательщика участника оборота товаров, расположенного в отдаленной или труднодоступной местности;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2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коды идентификации,</w:t>
      </w:r>
      <w:r>
        <w:rPr>
          <w:rFonts w:ascii="Times New Roman" w:hAnsi="Times New Roman" w:cs="Times New Roman" w:eastAsia="Times New Roman"/>
          <w:sz w:val="24"/>
        </w:rPr>
        <w:t xml:space="preserve"> или коды идентификации групповых упаковок молочной продукции со сроком хранения более 40 суток, или коды идентификации наборов товаров, в состав которых входит молочная продукция со сроком хранения более 40 суток, выводимые из оборота с 1 декабря 2023 г.;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2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способ вывода товаров из оборота (поставка в отдаленные или труднодоступные местности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i/>
          <w:iCs/>
          <w:sz w:val="24"/>
          <w:u w:val="single"/>
        </w:rPr>
        <w:t xml:space="preserve">сейчас нужно выбирать причину «Другое»</w:t>
      </w:r>
      <w:r>
        <w:rPr>
          <w:rFonts w:ascii="Times New Roman" w:hAnsi="Times New Roman" w:cs="Times New Roman" w:eastAsia="Times New Roman"/>
          <w:i/>
          <w:iCs/>
          <w:sz w:val="24"/>
          <w:u w:val="single"/>
        </w:rPr>
        <w:t xml:space="preserve">);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2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дата вывода молочной продукции из оборота;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2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цена реализации маркированной молочной продукции (с учетом налога на добавленную стоимость) согласно первичным документам (в случае реализации (продажи);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2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наименование, номер и дата документа, подтверждающего факт реализации (продажи).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Использовать электронный УПД и ЭДО в данном случаи не требуется, продавец подает сведения о поставке продукции и вводе ее из оборота путем прямой подачи сведений.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b/>
          <w:bCs/>
          <w:color w:val="FF0000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FF0000"/>
          <w:sz w:val="24"/>
        </w:rPr>
        <w:t xml:space="preserve">Особенности работы с маркируемой молочной продукцией в отдаленных от сетей связи местностях.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u w:val="single"/>
        </w:rPr>
      </w:pPr>
      <w:r>
        <w:rPr>
          <w:rFonts w:ascii="Times New Roman" w:hAnsi="Times New Roman" w:cs="Times New Roman" w:eastAsia="Times New Roman"/>
          <w:sz w:val="24"/>
          <w:u w:val="single"/>
        </w:rPr>
        <w:t xml:space="preserve">Производство продукции в 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отдаленных от сетей связи местностях.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Продукция маркируется по такой же </w:t>
      </w:r>
      <w:r>
        <w:rPr>
          <w:rFonts w:ascii="Times New Roman" w:hAnsi="Times New Roman" w:cs="Times New Roman" w:eastAsia="Times New Roman"/>
          <w:sz w:val="24"/>
        </w:rPr>
        <w:t xml:space="preserve">процедуре,</w:t>
      </w:r>
      <w:r>
        <w:rPr>
          <w:rFonts w:ascii="Times New Roman" w:hAnsi="Times New Roman" w:cs="Times New Roman" w:eastAsia="Times New Roman"/>
          <w:sz w:val="24"/>
        </w:rPr>
        <w:t xml:space="preserve"> как и производстве на любой другой территории Российской Федерации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6"/>
        </w:numPr>
        <w:rPr>
          <w:rFonts w:ascii="Times New Roman" w:hAnsi="Times New Roman" w:cs="Times New Roman" w:eastAsia="Times New Roman"/>
          <w:sz w:val="24"/>
          <w:u w:val="single"/>
        </w:rPr>
      </w:pPr>
      <w:r>
        <w:rPr>
          <w:rFonts w:ascii="Times New Roman" w:hAnsi="Times New Roman" w:cs="Times New Roman" w:eastAsia="Times New Roman"/>
          <w:sz w:val="24"/>
          <w:u w:val="single"/>
        </w:rPr>
        <w:t xml:space="preserve">Оборот и вывод из оборота в отдаленных от сетей связи местностях.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36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Участники</w:t>
      </w:r>
      <w:r>
        <w:rPr>
          <w:rFonts w:ascii="Times New Roman" w:hAnsi="Times New Roman" w:cs="Times New Roman" w:eastAsia="Times New Roman"/>
          <w:sz w:val="24"/>
        </w:rPr>
        <w:t xml:space="preserve"> оборота молочной продукции, осуществляющие ввод молочной продукции в оборот, и (или) ее оборот, и (или) ее вывод из оборота в случаях, предусмотренных абзацем</w:t>
      </w:r>
      <w:r>
        <w:rPr>
          <w:rFonts w:ascii="Times New Roman" w:hAnsi="Times New Roman" w:cs="Times New Roman" w:eastAsia="Times New Roman"/>
          <w:sz w:val="24"/>
        </w:rPr>
        <w:t xml:space="preserve"> восьмым пункта 2 и пунктом 7 статьи 2 Федерального закона "О применении контрольно-кассовой техники при осуществлении расчетов в Российской Федерации", вправе представлять сведения, указанные в разделе VIII настоящих Правил, в течение 30 календарных дней: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4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со дня отгрузки (перед</w:t>
      </w:r>
      <w:r>
        <w:rPr>
          <w:rFonts w:ascii="Times New Roman" w:hAnsi="Times New Roman" w:cs="Times New Roman" w:eastAsia="Times New Roman"/>
          <w:sz w:val="24"/>
        </w:rPr>
        <w:t xml:space="preserve">ачи или приемки) молочной продукции - при передаче (приемке) молочной продукции в рамках сделок, предусматривающих переход права собственности на указанные товары, а также в рамках договоров комиссии, и (или) агентских договоров, и (или) договоров подряда;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4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следующих за днем вывода молочной продукции из оборота, - при выводе молочной продукции из оборота;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14"/>
        <w:numPr>
          <w:ilvl w:val="0"/>
          <w:numId w:val="4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следующих за днем возврата молочной продукции в оборот, - в случае возврата молочной продукции с неповрежденным средством идентификации</w:t>
      </w:r>
      <w:r>
        <w:rPr>
          <w:rFonts w:ascii="Times New Roman" w:hAnsi="Times New Roman" w:cs="Times New Roman" w:eastAsia="Times New Roman"/>
          <w:sz w:val="24"/>
        </w:rPr>
        <w:t xml:space="preserve"> при розничной реализации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  <w:u w:val="single"/>
        </w:rPr>
      </w:pPr>
      <w:r>
        <w:rPr>
          <w:rFonts w:ascii="Times New Roman" w:hAnsi="Times New Roman" w:cs="Times New Roman" w:eastAsia="Times New Roman"/>
          <w:sz w:val="24"/>
          <w:u w:val="single"/>
        </w:rPr>
        <w:t xml:space="preserve">Т.е. сведения об обороте, УПД, сведения о выводе из оборота по причине розничной продажи с автономной ККТ либо иные выводы товара из оборота подаются участником оборота в течени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е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 30 календарных дней.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b/>
          <w:bCs/>
          <w:color w:val="FF0000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FF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b/>
          <w:bCs/>
          <w:color w:val="FF0000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FF0000"/>
          <w:sz w:val="24"/>
        </w:rPr>
        <w:t xml:space="preserve"> Сводная информация:</w:t>
      </w:r>
      <w:r>
        <w:rPr>
          <w:rFonts w:ascii="Times New Roman" w:hAnsi="Times New Roman" w:cs="Times New Roman" w:eastAsia="Times New Roman"/>
          <w:sz w:val="24"/>
        </w:rPr>
      </w:r>
    </w:p>
    <w:tbl>
      <w:tblPr>
        <w:tblStyle w:val="61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Отдаленные и труднодоступных местностях.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тдаленны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от сетей связи местностях.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Производство на местности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Описание карточки товара - Эмиссия - Отчет о нанесении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По общим правилам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Продажа на местности через ККТ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Не прослеживается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ККТ автономная, прямая подача сведений через ЛК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Оборот на местности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Не прослеживается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УПД в течение 30 календарных дней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Отгрузка на остальную территорию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Ввод в оборот покупателем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 (пока через СТП)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УПД в течение 30 календарных дней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Отгрузка с остальной территории на местность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Вывод из оборота прямая подача продавцом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 (причина вывода «Другая»)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УПД в течение 30 календарных дней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rPr>
          <w:b/>
          <w:bCs/>
          <w:color w:val="FF0000"/>
        </w:rPr>
      </w:pPr>
      <w:r>
        <w:rPr>
          <w:b/>
          <w:bCs/>
          <w:color w:val="FF000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0"/>
    <w:next w:val="61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1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0"/>
    <w:next w:val="61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0"/>
    <w:next w:val="61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0"/>
    <w:next w:val="61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0"/>
    <w:next w:val="61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0"/>
    <w:next w:val="61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0"/>
    <w:next w:val="61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0"/>
    <w:next w:val="61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0"/>
    <w:next w:val="61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0"/>
    <w:next w:val="61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1"/>
    <w:link w:val="32"/>
    <w:uiPriority w:val="10"/>
    <w:rPr>
      <w:sz w:val="48"/>
      <w:szCs w:val="48"/>
    </w:rPr>
  </w:style>
  <w:style w:type="paragraph" w:styleId="34">
    <w:name w:val="Subtitle"/>
    <w:basedOn w:val="610"/>
    <w:next w:val="61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1"/>
    <w:link w:val="34"/>
    <w:uiPriority w:val="11"/>
    <w:rPr>
      <w:sz w:val="24"/>
      <w:szCs w:val="24"/>
    </w:rPr>
  </w:style>
  <w:style w:type="paragraph" w:styleId="36">
    <w:name w:val="Quote"/>
    <w:basedOn w:val="610"/>
    <w:next w:val="61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0"/>
    <w:next w:val="61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1"/>
    <w:link w:val="40"/>
    <w:uiPriority w:val="99"/>
  </w:style>
  <w:style w:type="paragraph" w:styleId="42">
    <w:name w:val="Footer"/>
    <w:basedOn w:val="6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1"/>
    <w:link w:val="42"/>
    <w:uiPriority w:val="99"/>
  </w:style>
  <w:style w:type="paragraph" w:styleId="44">
    <w:name w:val="Caption"/>
    <w:basedOn w:val="610"/>
    <w:next w:val="6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1"/>
    <w:uiPriority w:val="99"/>
    <w:unhideWhenUsed/>
    <w:rPr>
      <w:vertAlign w:val="superscript"/>
    </w:rPr>
  </w:style>
  <w:style w:type="paragraph" w:styleId="176">
    <w:name w:val="endnote text"/>
    <w:basedOn w:val="61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1"/>
    <w:uiPriority w:val="99"/>
    <w:semiHidden/>
    <w:unhideWhenUsed/>
    <w:rPr>
      <w:vertAlign w:val="superscript"/>
    </w:rPr>
  </w:style>
  <w:style w:type="paragraph" w:styleId="179">
    <w:name w:val="toc 1"/>
    <w:basedOn w:val="610"/>
    <w:next w:val="61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0"/>
    <w:next w:val="61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0"/>
    <w:next w:val="61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0"/>
    <w:next w:val="61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0"/>
    <w:next w:val="61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0"/>
    <w:next w:val="61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0"/>
    <w:next w:val="61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0"/>
    <w:next w:val="61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0"/>
    <w:next w:val="61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0"/>
    <w:next w:val="610"/>
    <w:uiPriority w:val="99"/>
    <w:unhideWhenUsed/>
    <w:pPr>
      <w:spacing w:after="0" w:afterAutospacing="0"/>
    </w:pPr>
  </w:style>
  <w:style w:type="paragraph" w:styleId="610" w:default="1">
    <w:name w:val="Normal"/>
    <w:qFormat/>
  </w:style>
  <w:style w:type="character" w:styleId="611" w:default="1">
    <w:name w:val="Default Paragraph Font"/>
    <w:uiPriority w:val="1"/>
    <w:semiHidden/>
    <w:unhideWhenUsed/>
  </w:style>
  <w:style w:type="table" w:styleId="6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3" w:default="1">
    <w:name w:val="No List"/>
    <w:uiPriority w:val="99"/>
    <w:semiHidden/>
    <w:unhideWhenUsed/>
  </w:style>
  <w:style w:type="paragraph" w:styleId="614">
    <w:name w:val="List Paragraph"/>
    <w:basedOn w:val="610"/>
    <w:uiPriority w:val="34"/>
    <w:qFormat/>
    <w:pPr>
      <w:contextualSpacing/>
      <w:ind w:left="720"/>
    </w:pPr>
  </w:style>
  <w:style w:type="table" w:styleId="615">
    <w:name w:val="Table Grid"/>
    <w:basedOn w:val="6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16">
    <w:name w:val="Grid Table 5 Dark Accent 2"/>
    <w:basedOn w:val="612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band1Horz">
      <w:tcPr>
        <w:shd w:val="clear" w:color="auto" w:fill="f7caac" w:themeFill="accent2" w:themeFillTint="66"/>
      </w:tcPr>
    </w:tblStylePr>
    <w:tblStylePr w:type="band1Vert">
      <w:tcPr>
        <w:shd w:val="clear" w:color="auto" w:fill="f7caac" w:themeFill="accent2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ed7d31" w:themeFill="accent2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ed7d31" w:themeFill="accent2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ed7d31" w:themeFill="accent2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ed7d31" w:themeFill="accent2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Яна</dc:creator>
  <cp:keywords/>
  <dc:description/>
  <cp:revision>3</cp:revision>
  <dcterms:created xsi:type="dcterms:W3CDTF">2022-08-09T01:37:00Z</dcterms:created>
  <dcterms:modified xsi:type="dcterms:W3CDTF">2022-08-09T04:48:22Z</dcterms:modified>
</cp:coreProperties>
</file>