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D3" w:rsidRPr="00E578D3" w:rsidRDefault="00E578D3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20"/>
          <w:szCs w:val="20"/>
        </w:rPr>
      </w:pPr>
      <w:r w:rsidRPr="00E578D3">
        <w:rPr>
          <w:rFonts w:ascii="Georgia" w:hAnsi="Georgia" w:cs="Arial"/>
          <w:b w:val="0"/>
          <w:bCs w:val="0"/>
          <w:color w:val="800000"/>
          <w:sz w:val="20"/>
          <w:szCs w:val="20"/>
        </w:rPr>
        <w:t>Информация предоставлена:</w:t>
      </w:r>
    </w:p>
    <w:p w:rsidR="0060138F" w:rsidRDefault="00E578D3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E578D3">
        <w:rPr>
          <w:rFonts w:ascii="Georgia" w:hAnsi="Georgia" w:cs="Arial"/>
          <w:b w:val="0"/>
          <w:bCs w:val="0"/>
          <w:color w:val="800000"/>
          <w:sz w:val="30"/>
          <w:szCs w:val="30"/>
        </w:rPr>
        <w:t>Портал Бизнес-навигатора МСП &lt;</w:t>
      </w:r>
      <w:proofErr w:type="spellStart"/>
      <w:r w:rsidRPr="00E578D3">
        <w:rPr>
          <w:rFonts w:ascii="Georgia" w:hAnsi="Georgia" w:cs="Arial"/>
          <w:b w:val="0"/>
          <w:bCs w:val="0"/>
          <w:color w:val="800000"/>
          <w:sz w:val="30"/>
          <w:szCs w:val="30"/>
        </w:rPr>
        <w:t>info@mail.smbn.ru</w:t>
      </w:r>
      <w:proofErr w:type="spellEnd"/>
      <w:r w:rsidRPr="00E578D3">
        <w:rPr>
          <w:rFonts w:ascii="Georgia" w:hAnsi="Georgia" w:cs="Arial"/>
          <w:b w:val="0"/>
          <w:bCs w:val="0"/>
          <w:color w:val="800000"/>
          <w:sz w:val="30"/>
          <w:szCs w:val="30"/>
        </w:rPr>
        <w:t>&gt;</w:t>
      </w:r>
    </w:p>
    <w:p w:rsidR="0060138F" w:rsidRPr="0060138F" w:rsidRDefault="0060138F" w:rsidP="0060138F"/>
    <w:p w:rsidR="0060138F" w:rsidRPr="00004E53" w:rsidRDefault="00004E53" w:rsidP="0060138F">
      <w:pPr>
        <w:rPr>
          <w:b/>
          <w:sz w:val="40"/>
          <w:szCs w:val="40"/>
        </w:rPr>
      </w:pPr>
      <w:r w:rsidRPr="00004E53">
        <w:rPr>
          <w:b/>
          <w:sz w:val="40"/>
          <w:szCs w:val="40"/>
        </w:rPr>
        <w:t xml:space="preserve">Документооборот: </w:t>
      </w:r>
      <w:r>
        <w:rPr>
          <w:b/>
          <w:sz w:val="40"/>
          <w:szCs w:val="40"/>
        </w:rPr>
        <w:t xml:space="preserve"> </w:t>
      </w:r>
      <w:r w:rsidRPr="00004E53">
        <w:rPr>
          <w:b/>
          <w:sz w:val="40"/>
          <w:szCs w:val="40"/>
        </w:rPr>
        <w:t>важные правила для всех. Сроки хранения документов</w:t>
      </w:r>
    </w:p>
    <w:p w:rsidR="00093E12" w:rsidRDefault="00093E12" w:rsidP="00093E12">
      <w:pPr>
        <w:pStyle w:val="a3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Первые документы у предпринимателя появляются уже в процессе регистрации. По мере развития компании, взаимодействия с партнерами, банками, госорганами, сотрудниками бумаг становится все больше. Возникают резонные вопросы: как и сколько их хранить.</w:t>
      </w:r>
    </w:p>
    <w:p w:rsidR="00093E12" w:rsidRDefault="00093E12" w:rsidP="00093E12">
      <w:pPr>
        <w:pStyle w:val="a3"/>
        <w:shd w:val="clear" w:color="auto" w:fill="FFFFFF"/>
        <w:spacing w:before="24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 xml:space="preserve">Документы условно можно разделить </w:t>
      </w:r>
      <w:proofErr w:type="gramStart"/>
      <w:r>
        <w:rPr>
          <w:rFonts w:ascii="Golos Text" w:hAnsi="Golos Text"/>
          <w:color w:val="000000"/>
          <w:sz w:val="30"/>
          <w:szCs w:val="30"/>
        </w:rPr>
        <w:t>на</w:t>
      </w:r>
      <w:proofErr w:type="gramEnd"/>
      <w:r>
        <w:rPr>
          <w:rFonts w:ascii="Golos Text" w:hAnsi="Golos Text"/>
          <w:color w:val="000000"/>
          <w:sz w:val="30"/>
          <w:szCs w:val="30"/>
        </w:rPr>
        <w:t xml:space="preserve"> регистрационные, кадровые, разрешительные, бухгалтерские. Единожды разобравшись с несложными правилами хранения, процедура документооборота станет для предпринимателя понятной, логичной, а главное удобной. И в любой ситуации можно будет быстро собрать нужный пакет бумаг, найти необходимые реквизиты компании или партнера.</w:t>
      </w:r>
    </w:p>
    <w:p w:rsidR="00093E12" w:rsidRDefault="00093E12" w:rsidP="00093E12">
      <w:pPr>
        <w:pStyle w:val="a3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Перечни обязательных документов у организации и ИП отличаются.</w:t>
      </w:r>
    </w:p>
    <w:p w:rsidR="00093E12" w:rsidRDefault="00093E12" w:rsidP="00093E12">
      <w:pPr>
        <w:pStyle w:val="a3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Документы ИП:</w:t>
      </w:r>
    </w:p>
    <w:p w:rsidR="00093E12" w:rsidRDefault="00093E12" w:rsidP="00093E1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паспорт гражданина</w:t>
      </w:r>
    </w:p>
    <w:p w:rsidR="00093E12" w:rsidRDefault="00093E12" w:rsidP="00093E1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лист записи ЕГРИП. </w:t>
      </w:r>
      <w:hyperlink r:id="rId5" w:history="1">
        <w:r>
          <w:rPr>
            <w:rStyle w:val="a9"/>
            <w:rFonts w:ascii="Golos Text" w:hAnsi="Golos Text"/>
            <w:color w:val="7E6CC1"/>
            <w:sz w:val="30"/>
            <w:szCs w:val="30"/>
            <w:bdr w:val="none" w:sz="0" w:space="0" w:color="auto" w:frame="1"/>
          </w:rPr>
          <w:t>Выписка</w:t>
        </w:r>
      </w:hyperlink>
      <w:r>
        <w:rPr>
          <w:rFonts w:ascii="Golos Text" w:hAnsi="Golos Text"/>
          <w:color w:val="000000"/>
          <w:sz w:val="30"/>
          <w:szCs w:val="30"/>
        </w:rPr>
        <w:t> из реестра делается по мере необходимости</w:t>
      </w:r>
    </w:p>
    <w:p w:rsidR="00093E12" w:rsidRDefault="00093E12" w:rsidP="00093E1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свидетельство о постановке на учет физического лица в налоговом органе – ИНН. ИНН индивидуального предпринимателя привязан к конкретному человеку, и если ИП закрывается или открывается его вновь, ИНН остается прежним</w:t>
      </w:r>
    </w:p>
    <w:p w:rsidR="00093E12" w:rsidRDefault="00093E12" w:rsidP="00093E1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уведомление о постановке на учет физического лица в налоговом органе в качестве индивидуального предпринимателя (ОРГНИП). Он указывается как основной реквизит в договорах, платежных документах, формах отчетности. После закрытия бизнеса аннулируется. Для нового бизнеса выдается новый номер</w:t>
      </w:r>
    </w:p>
    <w:p w:rsidR="00093E12" w:rsidRDefault="00093E12" w:rsidP="00093E12">
      <w:pPr>
        <w:pStyle w:val="a3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Документ</w:t>
      </w:r>
      <w:proofErr w:type="gramStart"/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ы ООО</w:t>
      </w:r>
      <w:proofErr w:type="gramEnd"/>
    </w:p>
    <w:p w:rsidR="00093E12" w:rsidRDefault="00093E12" w:rsidP="00093E1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Протокол общего собрания или решение единственного учредителя об учреждении общества (документ с которого начинается создание юридического лица)</w:t>
      </w:r>
    </w:p>
    <w:p w:rsidR="00093E12" w:rsidRDefault="002F546E" w:rsidP="00093E1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hyperlink r:id="rId6" w:history="1">
        <w:r w:rsidR="00093E12">
          <w:rPr>
            <w:rStyle w:val="a9"/>
            <w:rFonts w:ascii="Golos Text" w:hAnsi="Golos Text"/>
            <w:color w:val="7E6CC1"/>
            <w:sz w:val="30"/>
            <w:szCs w:val="30"/>
            <w:bdr w:val="none" w:sz="0" w:space="0" w:color="auto" w:frame="1"/>
          </w:rPr>
          <w:t>Устав ООО</w:t>
        </w:r>
      </w:hyperlink>
      <w:r w:rsidR="00093E12">
        <w:rPr>
          <w:rFonts w:ascii="Golos Text" w:hAnsi="Golos Text"/>
          <w:color w:val="000000"/>
          <w:sz w:val="30"/>
          <w:szCs w:val="30"/>
        </w:rPr>
        <w:t xml:space="preserve"> с отметкой налоговой о регистрации. Регистрировать и менять устава надо через ФНС. При этом следует хранить не только действующую редакцию, но </w:t>
      </w:r>
      <w:proofErr w:type="gramStart"/>
      <w:r w:rsidR="00093E12">
        <w:rPr>
          <w:rFonts w:ascii="Golos Text" w:hAnsi="Golos Text"/>
          <w:color w:val="000000"/>
          <w:sz w:val="30"/>
          <w:szCs w:val="30"/>
        </w:rPr>
        <w:t>предыдущие</w:t>
      </w:r>
      <w:proofErr w:type="gramEnd"/>
      <w:r w:rsidR="00093E12">
        <w:rPr>
          <w:rFonts w:ascii="Golos Text" w:hAnsi="Golos Text"/>
          <w:color w:val="000000"/>
          <w:sz w:val="30"/>
          <w:szCs w:val="30"/>
        </w:rPr>
        <w:t>. Типовой устав можно не хранить</w:t>
      </w:r>
    </w:p>
    <w:p w:rsidR="00093E12" w:rsidRDefault="00093E12" w:rsidP="00093E1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Свидетельство о постановке на учет в налоговом органе можно назвать паспортом юридического лица. Этот документ содержит ИНН, ОГРН, КПП организации, выдается после регистрации</w:t>
      </w:r>
    </w:p>
    <w:p w:rsidR="00093E12" w:rsidRDefault="00093E12" w:rsidP="00093E1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Лист записи ЕГРЮЛ</w:t>
      </w:r>
      <w:r>
        <w:rPr>
          <w:rFonts w:ascii="Golos Text" w:hAnsi="Golos Text"/>
          <w:color w:val="000000"/>
          <w:sz w:val="30"/>
          <w:szCs w:val="30"/>
        </w:rPr>
        <w:t> выдается после регистрации. Выписку можно </w:t>
      </w:r>
      <w:hyperlink r:id="rId7" w:history="1">
        <w:r>
          <w:rPr>
            <w:rStyle w:val="a9"/>
            <w:rFonts w:ascii="Golos Text" w:hAnsi="Golos Text"/>
            <w:color w:val="7E6CC1"/>
            <w:sz w:val="30"/>
            <w:szCs w:val="30"/>
            <w:bdr w:val="none" w:sz="0" w:space="0" w:color="auto" w:frame="1"/>
          </w:rPr>
          <w:t>получить</w:t>
        </w:r>
      </w:hyperlink>
      <w:r>
        <w:rPr>
          <w:rFonts w:ascii="Golos Text" w:hAnsi="Golos Text"/>
          <w:color w:val="000000"/>
          <w:sz w:val="30"/>
          <w:szCs w:val="30"/>
        </w:rPr>
        <w:t xml:space="preserve"> на актуальную дату в любое время в режиме </w:t>
      </w:r>
      <w:proofErr w:type="spellStart"/>
      <w:r>
        <w:rPr>
          <w:rFonts w:ascii="Golos Text" w:hAnsi="Golos Text"/>
          <w:color w:val="000000"/>
          <w:sz w:val="30"/>
          <w:szCs w:val="30"/>
        </w:rPr>
        <w:t>онлайн</w:t>
      </w:r>
      <w:proofErr w:type="spellEnd"/>
      <w:r>
        <w:rPr>
          <w:rFonts w:ascii="Golos Text" w:hAnsi="Golos Text"/>
          <w:color w:val="000000"/>
          <w:sz w:val="30"/>
          <w:szCs w:val="30"/>
        </w:rPr>
        <w:t>, поэтому в бумажном виде хранить необязательно</w:t>
      </w:r>
    </w:p>
    <w:p w:rsidR="00093E12" w:rsidRDefault="00093E12" w:rsidP="00093E1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lastRenderedPageBreak/>
        <w:t>Список участников ООО</w:t>
      </w:r>
      <w:r>
        <w:rPr>
          <w:rFonts w:ascii="Golos Text" w:hAnsi="Golos Text"/>
          <w:color w:val="000000"/>
          <w:sz w:val="30"/>
          <w:szCs w:val="30"/>
        </w:rPr>
        <w:t> – один из обязательных документов компании с </w:t>
      </w:r>
      <w:hyperlink r:id="rId8" w:history="1">
        <w:r>
          <w:rPr>
            <w:rStyle w:val="a9"/>
            <w:rFonts w:ascii="Golos Text" w:hAnsi="Golos Text"/>
            <w:color w:val="7E6CC1"/>
            <w:sz w:val="30"/>
            <w:szCs w:val="30"/>
            <w:bdr w:val="none" w:sz="0" w:space="0" w:color="auto" w:frame="1"/>
          </w:rPr>
          <w:t>информацией</w:t>
        </w:r>
      </w:hyperlink>
      <w:r>
        <w:rPr>
          <w:rFonts w:ascii="Golos Text" w:hAnsi="Golos Text"/>
          <w:color w:val="000000"/>
          <w:sz w:val="30"/>
          <w:szCs w:val="30"/>
        </w:rPr>
        <w:t xml:space="preserve"> о собственниках организации: ФИО, паспортные данные </w:t>
      </w:r>
      <w:proofErr w:type="spellStart"/>
      <w:r>
        <w:rPr>
          <w:rFonts w:ascii="Golos Text" w:hAnsi="Golos Text"/>
          <w:color w:val="000000"/>
          <w:sz w:val="30"/>
          <w:szCs w:val="30"/>
        </w:rPr>
        <w:t>физлиц</w:t>
      </w:r>
      <w:proofErr w:type="spellEnd"/>
      <w:r>
        <w:rPr>
          <w:rFonts w:ascii="Golos Text" w:hAnsi="Golos Text"/>
          <w:color w:val="000000"/>
          <w:sz w:val="30"/>
          <w:szCs w:val="30"/>
        </w:rPr>
        <w:t xml:space="preserve"> и регистрационные данные </w:t>
      </w:r>
      <w:proofErr w:type="spellStart"/>
      <w:r>
        <w:rPr>
          <w:rFonts w:ascii="Golos Text" w:hAnsi="Golos Text"/>
          <w:color w:val="000000"/>
          <w:sz w:val="30"/>
          <w:szCs w:val="30"/>
        </w:rPr>
        <w:t>юрлиц</w:t>
      </w:r>
      <w:proofErr w:type="spellEnd"/>
      <w:r>
        <w:rPr>
          <w:rFonts w:ascii="Golos Text" w:hAnsi="Golos Text"/>
          <w:color w:val="000000"/>
          <w:sz w:val="30"/>
          <w:szCs w:val="30"/>
        </w:rPr>
        <w:t>, их адреса, размер доли в уставном капитале и пр.</w:t>
      </w:r>
    </w:p>
    <w:p w:rsidR="00093E12" w:rsidRDefault="00093E12" w:rsidP="00093E1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Договор об учреждении</w:t>
      </w:r>
      <w:r>
        <w:rPr>
          <w:rFonts w:ascii="Golos Text" w:hAnsi="Golos Text"/>
          <w:color w:val="000000"/>
          <w:sz w:val="30"/>
          <w:szCs w:val="30"/>
        </w:rPr>
        <w:t> заключается, когд</w:t>
      </w:r>
      <w:proofErr w:type="gramStart"/>
      <w:r>
        <w:rPr>
          <w:rFonts w:ascii="Golos Text" w:hAnsi="Golos Text"/>
          <w:color w:val="000000"/>
          <w:sz w:val="30"/>
          <w:szCs w:val="30"/>
        </w:rPr>
        <w:t>а ООО</w:t>
      </w:r>
      <w:proofErr w:type="gramEnd"/>
      <w:r>
        <w:rPr>
          <w:rFonts w:ascii="Golos Text" w:hAnsi="Golos Text"/>
          <w:color w:val="000000"/>
          <w:sz w:val="30"/>
          <w:szCs w:val="30"/>
        </w:rPr>
        <w:t xml:space="preserve"> создается несколькими учредителями. Это также внутренний, но обязательный документ, который регулирует порядок совместной деятельности: размер и долю каждого учредителя в уставном капитале, порядок оплаты взносов и пр. Его надо составить до утверждения устава и регистрации компании. Копии должны </w:t>
      </w:r>
      <w:proofErr w:type="gramStart"/>
      <w:r>
        <w:rPr>
          <w:rFonts w:ascii="Golos Text" w:hAnsi="Golos Text"/>
          <w:color w:val="000000"/>
          <w:sz w:val="30"/>
          <w:szCs w:val="30"/>
        </w:rPr>
        <w:t>хранится</w:t>
      </w:r>
      <w:proofErr w:type="gramEnd"/>
      <w:r>
        <w:rPr>
          <w:rFonts w:ascii="Golos Text" w:hAnsi="Golos Text"/>
          <w:color w:val="000000"/>
          <w:sz w:val="30"/>
          <w:szCs w:val="30"/>
        </w:rPr>
        <w:t xml:space="preserve"> у каждого учредителя.</w:t>
      </w:r>
    </w:p>
    <w:p w:rsidR="00093E12" w:rsidRDefault="00093E12" w:rsidP="00093E1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Подтверждение юридического адреса</w:t>
      </w:r>
      <w:r>
        <w:rPr>
          <w:rFonts w:ascii="Golos Text" w:hAnsi="Golos Text"/>
          <w:color w:val="000000"/>
          <w:sz w:val="30"/>
          <w:szCs w:val="30"/>
        </w:rPr>
        <w:t>. Документа конкретно с таким названием нет, но должна быть бумага, подтверждающая право регистрации по адресу: свидетельство о праве собственности, договор аренды или согласие собственника, копия правоустанавливающего документа (для регистрации по домашнему адресу собственника)</w:t>
      </w:r>
    </w:p>
    <w:p w:rsidR="00093E12" w:rsidRDefault="00093E12" w:rsidP="00093E1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Протоколы</w:t>
      </w:r>
      <w:r>
        <w:rPr>
          <w:rFonts w:ascii="Golos Text" w:hAnsi="Golos Text"/>
          <w:color w:val="000000"/>
          <w:sz w:val="30"/>
          <w:szCs w:val="30"/>
        </w:rPr>
        <w:t> общих собраний и решения единственных участников</w:t>
      </w:r>
    </w:p>
    <w:p w:rsidR="00093E12" w:rsidRDefault="00093E12" w:rsidP="00093E1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Документы </w:t>
      </w:r>
      <w:r>
        <w:rPr>
          <w:rFonts w:ascii="Golos Text" w:hAnsi="Golos Text"/>
          <w:color w:val="000000"/>
          <w:sz w:val="30"/>
          <w:szCs w:val="30"/>
        </w:rPr>
        <w:t>о реорганизации и ликвидации</w:t>
      </w:r>
    </w:p>
    <w:p w:rsidR="00093E12" w:rsidRDefault="00093E12" w:rsidP="00093E12">
      <w:pPr>
        <w:pStyle w:val="a3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Общие документы:</w:t>
      </w:r>
    </w:p>
    <w:p w:rsidR="00093E12" w:rsidRDefault="00093E12" w:rsidP="00093E12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Уведомление о присвоении кодов статистики. Оно подтверждает постановку на учет в органах статистики и содержит коды ОКПО, ОКВЭД, ОКАТО и пр. Его нужно получать в территориальном органе статистики</w:t>
      </w:r>
    </w:p>
    <w:p w:rsidR="00093E12" w:rsidRDefault="00093E12" w:rsidP="00093E12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Извещения (уведомления) о регистрации общества в ПФР и ФСС</w:t>
      </w:r>
    </w:p>
    <w:p w:rsidR="00093E12" w:rsidRDefault="00093E12" w:rsidP="00093E12">
      <w:pPr>
        <w:pStyle w:val="a3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По необходимости в зависимости от вида бизнеса могут понадобиться </w:t>
      </w: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разрешительные документы</w:t>
      </w:r>
      <w:r>
        <w:rPr>
          <w:rFonts w:ascii="Golos Text" w:hAnsi="Golos Text"/>
          <w:color w:val="000000"/>
          <w:sz w:val="30"/>
          <w:szCs w:val="30"/>
        </w:rPr>
        <w:t>:</w:t>
      </w:r>
    </w:p>
    <w:p w:rsidR="00093E12" w:rsidRDefault="00093E12" w:rsidP="00093E12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Лицензии и сертификаты</w:t>
      </w:r>
    </w:p>
    <w:p w:rsidR="00093E12" w:rsidRDefault="00093E12" w:rsidP="00093E12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 xml:space="preserve">Допуск </w:t>
      </w:r>
      <w:proofErr w:type="spellStart"/>
      <w:r>
        <w:rPr>
          <w:rFonts w:ascii="Golos Text" w:hAnsi="Golos Text"/>
          <w:color w:val="000000"/>
          <w:sz w:val="30"/>
          <w:szCs w:val="30"/>
        </w:rPr>
        <w:t>саморегулируемой</w:t>
      </w:r>
      <w:proofErr w:type="spellEnd"/>
      <w:r>
        <w:rPr>
          <w:rFonts w:ascii="Golos Text" w:hAnsi="Golos Text"/>
          <w:color w:val="000000"/>
          <w:sz w:val="30"/>
          <w:szCs w:val="30"/>
        </w:rPr>
        <w:t xml:space="preserve"> организации</w:t>
      </w:r>
    </w:p>
    <w:p w:rsidR="00093E12" w:rsidRDefault="00093E12" w:rsidP="00093E12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 xml:space="preserve">Заключения </w:t>
      </w:r>
      <w:proofErr w:type="spellStart"/>
      <w:r>
        <w:rPr>
          <w:rFonts w:ascii="Golos Text" w:hAnsi="Golos Text"/>
          <w:color w:val="000000"/>
          <w:sz w:val="30"/>
          <w:szCs w:val="30"/>
        </w:rPr>
        <w:t>Роспотребнадзора</w:t>
      </w:r>
      <w:proofErr w:type="spellEnd"/>
      <w:r>
        <w:rPr>
          <w:rFonts w:ascii="Golos Text" w:hAnsi="Golos Text"/>
          <w:color w:val="000000"/>
          <w:sz w:val="30"/>
          <w:szCs w:val="30"/>
        </w:rPr>
        <w:t xml:space="preserve"> и </w:t>
      </w:r>
      <w:proofErr w:type="spellStart"/>
      <w:r>
        <w:rPr>
          <w:rFonts w:ascii="Golos Text" w:hAnsi="Golos Text"/>
          <w:color w:val="000000"/>
          <w:sz w:val="30"/>
          <w:szCs w:val="30"/>
        </w:rPr>
        <w:t>Госпожнадзора</w:t>
      </w:r>
      <w:proofErr w:type="spellEnd"/>
      <w:r>
        <w:rPr>
          <w:rFonts w:ascii="Golos Text" w:hAnsi="Golos Text"/>
          <w:color w:val="000000"/>
          <w:sz w:val="30"/>
          <w:szCs w:val="30"/>
        </w:rPr>
        <w:t xml:space="preserve"> на соответствие помещения установленным требованиям</w:t>
      </w:r>
    </w:p>
    <w:p w:rsidR="00093E12" w:rsidRDefault="00093E12" w:rsidP="00093E12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Подтверждение подачи уведомления о начале предпринимательской деятельности (второй экземпляр с отметкой или почтовая квитанция)</w:t>
      </w:r>
    </w:p>
    <w:p w:rsidR="00093E12" w:rsidRDefault="00093E12" w:rsidP="00093E12">
      <w:pPr>
        <w:pStyle w:val="a3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Кадровые документы</w:t>
      </w:r>
    </w:p>
    <w:p w:rsidR="00093E12" w:rsidRDefault="00093E12" w:rsidP="00093E12">
      <w:pPr>
        <w:pStyle w:val="a3"/>
        <w:shd w:val="clear" w:color="auto" w:fill="FFFFFF"/>
        <w:spacing w:before="24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Еще один блок документов появляется с момента найма сотрудников. Часть из них теперь хранится в электронном виде.</w:t>
      </w:r>
    </w:p>
    <w:p w:rsidR="00093E12" w:rsidRDefault="00093E12" w:rsidP="00093E12">
      <w:pPr>
        <w:pStyle w:val="a3"/>
        <w:shd w:val="clear" w:color="auto" w:fill="FFFFFF"/>
        <w:spacing w:before="24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К ним относятся:</w:t>
      </w:r>
    </w:p>
    <w:p w:rsidR="00093E12" w:rsidRDefault="00093E12" w:rsidP="00093E12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Трудовые договоры</w:t>
      </w:r>
    </w:p>
    <w:p w:rsidR="00093E12" w:rsidRDefault="00093E12" w:rsidP="00093E12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Трудовые книжки</w:t>
      </w:r>
    </w:p>
    <w:p w:rsidR="00093E12" w:rsidRDefault="00093E12" w:rsidP="00093E12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Внутренние документы компании: положение об оплате труда, штатное расписание, должностные инструкции, графики отпусков, приказы, распоряжения и пр.</w:t>
      </w:r>
    </w:p>
    <w:p w:rsidR="00093E12" w:rsidRDefault="00093E12" w:rsidP="00093E12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Документы по защите </w:t>
      </w:r>
      <w:hyperlink r:id="rId9" w:history="1">
        <w:r>
          <w:rPr>
            <w:rStyle w:val="a9"/>
            <w:rFonts w:ascii="Golos Text" w:hAnsi="Golos Text"/>
            <w:color w:val="7E6CC1"/>
            <w:sz w:val="30"/>
            <w:szCs w:val="30"/>
            <w:bdr w:val="none" w:sz="0" w:space="0" w:color="auto" w:frame="1"/>
          </w:rPr>
          <w:t>персональных данных работников</w:t>
        </w:r>
      </w:hyperlink>
    </w:p>
    <w:p w:rsidR="00093E12" w:rsidRDefault="00093E12" w:rsidP="00093E12">
      <w:pPr>
        <w:pStyle w:val="a3"/>
        <w:shd w:val="clear" w:color="auto" w:fill="FFFFFF"/>
        <w:spacing w:before="24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 </w:t>
      </w:r>
    </w:p>
    <w:p w:rsidR="00093E12" w:rsidRDefault="00093E12" w:rsidP="00093E12">
      <w:pPr>
        <w:pStyle w:val="a3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Бухгалтерские документы:</w:t>
      </w:r>
    </w:p>
    <w:p w:rsidR="00093E12" w:rsidRDefault="00093E12" w:rsidP="00093E1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Первичные документы: акты приема-передачи, чеки, накладные и т.д.</w:t>
      </w:r>
    </w:p>
    <w:p w:rsidR="00093E12" w:rsidRDefault="00093E12" w:rsidP="00093E1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lastRenderedPageBreak/>
        <w:t xml:space="preserve">Документы налогового учета: декларации, </w:t>
      </w:r>
      <w:proofErr w:type="spellStart"/>
      <w:r>
        <w:rPr>
          <w:rFonts w:ascii="Golos Text" w:hAnsi="Golos Text"/>
          <w:color w:val="000000"/>
          <w:sz w:val="30"/>
          <w:szCs w:val="30"/>
        </w:rPr>
        <w:t>КУДиР</w:t>
      </w:r>
      <w:proofErr w:type="spellEnd"/>
      <w:r>
        <w:rPr>
          <w:rFonts w:ascii="Golos Text" w:hAnsi="Golos Text"/>
          <w:color w:val="000000"/>
          <w:sz w:val="30"/>
          <w:szCs w:val="30"/>
        </w:rPr>
        <w:t>, акты сверки с ИФНС, справки о состоянии расчетов с бюджетом и др.</w:t>
      </w:r>
    </w:p>
    <w:p w:rsidR="00093E12" w:rsidRDefault="00093E12" w:rsidP="00093E1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Документы сделки: договоры, переписка, расчеты, справки, заключения, счета и иные</w:t>
      </w:r>
    </w:p>
    <w:p w:rsidR="00093E12" w:rsidRDefault="00093E12" w:rsidP="00093E1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Документы отчетности: регистры учета, балансы, отчеты о прибылях и убытках, учетная политика, декларации и др.</w:t>
      </w:r>
    </w:p>
    <w:p w:rsidR="00093E12" w:rsidRDefault="00093E12" w:rsidP="00093E12">
      <w:pPr>
        <w:pStyle w:val="a3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b/>
          <w:bCs/>
          <w:color w:val="000000"/>
          <w:sz w:val="30"/>
          <w:szCs w:val="30"/>
          <w:bdr w:val="none" w:sz="0" w:space="0" w:color="auto" w:frame="1"/>
        </w:rPr>
        <w:t>Сколько хранить</w:t>
      </w:r>
    </w:p>
    <w:p w:rsidR="00093E12" w:rsidRDefault="00093E12" w:rsidP="00093E12">
      <w:pPr>
        <w:pStyle w:val="a3"/>
        <w:shd w:val="clear" w:color="auto" w:fill="FFFFFF"/>
        <w:spacing w:before="24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Правила хранения электронных документов не сильно отличаются от бумажных: также не допускается повреждение, кража или утрата данных.</w:t>
      </w:r>
    </w:p>
    <w:p w:rsidR="00093E12" w:rsidRDefault="00093E12" w:rsidP="00093E12">
      <w:pPr>
        <w:pStyle w:val="a3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Законом </w:t>
      </w:r>
      <w:hyperlink r:id="rId10" w:history="1">
        <w:r>
          <w:rPr>
            <w:rStyle w:val="a9"/>
            <w:rFonts w:ascii="Golos Text" w:hAnsi="Golos Text"/>
            <w:color w:val="7E6CC1"/>
            <w:sz w:val="30"/>
            <w:szCs w:val="30"/>
            <w:bdr w:val="none" w:sz="0" w:space="0" w:color="auto" w:frame="1"/>
          </w:rPr>
          <w:t>определен</w:t>
        </w:r>
      </w:hyperlink>
      <w:r>
        <w:rPr>
          <w:rFonts w:ascii="Golos Text" w:hAnsi="Golos Text"/>
          <w:color w:val="000000"/>
          <w:sz w:val="30"/>
          <w:szCs w:val="30"/>
        </w:rPr>
        <w:t> порядок и сроки хранения документов:</w:t>
      </w:r>
    </w:p>
    <w:p w:rsidR="00093E12" w:rsidRDefault="00093E12" w:rsidP="00093E1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 xml:space="preserve">Регистрационные документы – постоянно или бессрочно. В таком случае после закрытия ИП или ликвидации компании, истечения срока хранения в компании их нужно передавать на хранение в </w:t>
      </w:r>
      <w:proofErr w:type="spellStart"/>
      <w:r>
        <w:rPr>
          <w:rFonts w:ascii="Golos Text" w:hAnsi="Golos Text"/>
          <w:color w:val="000000"/>
          <w:sz w:val="30"/>
          <w:szCs w:val="30"/>
        </w:rPr>
        <w:t>госархив</w:t>
      </w:r>
      <w:proofErr w:type="spellEnd"/>
      <w:r>
        <w:rPr>
          <w:rFonts w:ascii="Golos Text" w:hAnsi="Golos Text"/>
          <w:color w:val="000000"/>
          <w:sz w:val="30"/>
          <w:szCs w:val="30"/>
        </w:rPr>
        <w:t>. Удобно иметь под рукой копию полного пакета регистрационных документов.</w:t>
      </w:r>
    </w:p>
    <w:p w:rsidR="00093E12" w:rsidRDefault="00093E12" w:rsidP="00093E1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Кадровые документы, включая расчеты страховых взносов – до 75 лет</w:t>
      </w:r>
    </w:p>
    <w:p w:rsidR="00093E12" w:rsidRDefault="00093E12" w:rsidP="00093E1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>Бухгалтерские документы – до 5 лет</w:t>
      </w:r>
    </w:p>
    <w:p w:rsidR="00093E12" w:rsidRDefault="00093E12" w:rsidP="00093E1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Golos Text" w:hAnsi="Golos Text"/>
          <w:color w:val="000000"/>
          <w:sz w:val="30"/>
          <w:szCs w:val="30"/>
        </w:rPr>
      </w:pPr>
      <w:r>
        <w:rPr>
          <w:rFonts w:ascii="Golos Text" w:hAnsi="Golos Text"/>
          <w:color w:val="000000"/>
          <w:sz w:val="30"/>
          <w:szCs w:val="30"/>
        </w:rPr>
        <w:t xml:space="preserve">Разрешительные документы - не менее 5 лет </w:t>
      </w:r>
      <w:proofErr w:type="gramStart"/>
      <w:r>
        <w:rPr>
          <w:rFonts w:ascii="Golos Text" w:hAnsi="Golos Text"/>
          <w:color w:val="000000"/>
          <w:sz w:val="30"/>
          <w:szCs w:val="30"/>
        </w:rPr>
        <w:t>с даты окончания</w:t>
      </w:r>
      <w:proofErr w:type="gramEnd"/>
      <w:r>
        <w:rPr>
          <w:rFonts w:ascii="Golos Text" w:hAnsi="Golos Text"/>
          <w:color w:val="000000"/>
          <w:sz w:val="30"/>
          <w:szCs w:val="30"/>
        </w:rPr>
        <w:t xml:space="preserve"> срока действия. Часть из них бессрочно</w:t>
      </w:r>
    </w:p>
    <w:p w:rsidR="0060138F" w:rsidRDefault="0060138F" w:rsidP="0060138F">
      <w:pPr>
        <w:tabs>
          <w:tab w:val="left" w:pos="930"/>
        </w:tabs>
      </w:pPr>
      <w:r>
        <w:tab/>
      </w:r>
    </w:p>
    <w:p w:rsidR="0060138F" w:rsidRPr="0060138F" w:rsidRDefault="0060138F" w:rsidP="0060138F"/>
    <w:p w:rsidR="0060138F" w:rsidRDefault="0060138F" w:rsidP="0060138F"/>
    <w:p w:rsidR="007E695A" w:rsidRPr="0060138F" w:rsidRDefault="007E695A" w:rsidP="0060138F"/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A2C"/>
    <w:multiLevelType w:val="multilevel"/>
    <w:tmpl w:val="B584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05A8"/>
    <w:multiLevelType w:val="multilevel"/>
    <w:tmpl w:val="4AC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2C19"/>
    <w:multiLevelType w:val="multilevel"/>
    <w:tmpl w:val="0FF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B3434"/>
    <w:multiLevelType w:val="multilevel"/>
    <w:tmpl w:val="B41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3B1349"/>
    <w:multiLevelType w:val="multilevel"/>
    <w:tmpl w:val="12A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27DBA"/>
    <w:multiLevelType w:val="multilevel"/>
    <w:tmpl w:val="3E1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73420"/>
    <w:multiLevelType w:val="multilevel"/>
    <w:tmpl w:val="DB00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B7EBA"/>
    <w:multiLevelType w:val="multilevel"/>
    <w:tmpl w:val="DE6A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65CD0"/>
    <w:multiLevelType w:val="multilevel"/>
    <w:tmpl w:val="A65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C5DB6"/>
    <w:multiLevelType w:val="multilevel"/>
    <w:tmpl w:val="8EDA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FD167B"/>
    <w:multiLevelType w:val="multilevel"/>
    <w:tmpl w:val="645C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9589E"/>
    <w:multiLevelType w:val="multilevel"/>
    <w:tmpl w:val="C8EA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D148B"/>
    <w:multiLevelType w:val="multilevel"/>
    <w:tmpl w:val="B7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3790C"/>
    <w:multiLevelType w:val="multilevel"/>
    <w:tmpl w:val="10B8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700666"/>
    <w:multiLevelType w:val="multilevel"/>
    <w:tmpl w:val="3E6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E36405"/>
    <w:multiLevelType w:val="multilevel"/>
    <w:tmpl w:val="CA8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7C0FD3"/>
    <w:multiLevelType w:val="multilevel"/>
    <w:tmpl w:val="72FE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10"/>
  </w:num>
  <w:num w:numId="5">
    <w:abstractNumId w:val="3"/>
  </w:num>
  <w:num w:numId="6">
    <w:abstractNumId w:val="28"/>
  </w:num>
  <w:num w:numId="7">
    <w:abstractNumId w:val="19"/>
  </w:num>
  <w:num w:numId="8">
    <w:abstractNumId w:val="16"/>
  </w:num>
  <w:num w:numId="9">
    <w:abstractNumId w:val="24"/>
  </w:num>
  <w:num w:numId="10">
    <w:abstractNumId w:val="26"/>
  </w:num>
  <w:num w:numId="11">
    <w:abstractNumId w:val="15"/>
  </w:num>
  <w:num w:numId="12">
    <w:abstractNumId w:val="20"/>
  </w:num>
  <w:num w:numId="13">
    <w:abstractNumId w:val="2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25"/>
  </w:num>
  <w:num w:numId="19">
    <w:abstractNumId w:val="5"/>
  </w:num>
  <w:num w:numId="20">
    <w:abstractNumId w:val="23"/>
  </w:num>
  <w:num w:numId="21">
    <w:abstractNumId w:val="14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21"/>
  </w:num>
  <w:num w:numId="27">
    <w:abstractNumId w:val="7"/>
  </w:num>
  <w:num w:numId="28">
    <w:abstractNumId w:val="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04E53"/>
    <w:rsid w:val="0001016F"/>
    <w:rsid w:val="000200ED"/>
    <w:rsid w:val="00031468"/>
    <w:rsid w:val="00044111"/>
    <w:rsid w:val="00045DFF"/>
    <w:rsid w:val="00050ECE"/>
    <w:rsid w:val="00093E12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43372"/>
    <w:rsid w:val="00155FD9"/>
    <w:rsid w:val="00160A04"/>
    <w:rsid w:val="0017001B"/>
    <w:rsid w:val="001810A4"/>
    <w:rsid w:val="0019792F"/>
    <w:rsid w:val="001C57D9"/>
    <w:rsid w:val="001D6489"/>
    <w:rsid w:val="00225C9B"/>
    <w:rsid w:val="00295755"/>
    <w:rsid w:val="002F546E"/>
    <w:rsid w:val="00303972"/>
    <w:rsid w:val="00334039"/>
    <w:rsid w:val="00335E16"/>
    <w:rsid w:val="00374C1B"/>
    <w:rsid w:val="003855F4"/>
    <w:rsid w:val="003C5104"/>
    <w:rsid w:val="003F24F2"/>
    <w:rsid w:val="0040225F"/>
    <w:rsid w:val="00410D7C"/>
    <w:rsid w:val="00424409"/>
    <w:rsid w:val="00460E76"/>
    <w:rsid w:val="00463A58"/>
    <w:rsid w:val="00475619"/>
    <w:rsid w:val="0048632B"/>
    <w:rsid w:val="004E6884"/>
    <w:rsid w:val="0050684B"/>
    <w:rsid w:val="005077C1"/>
    <w:rsid w:val="005166AD"/>
    <w:rsid w:val="00525D40"/>
    <w:rsid w:val="00527BDB"/>
    <w:rsid w:val="005332D4"/>
    <w:rsid w:val="005335DA"/>
    <w:rsid w:val="00537B09"/>
    <w:rsid w:val="00550F89"/>
    <w:rsid w:val="005567E9"/>
    <w:rsid w:val="0058435E"/>
    <w:rsid w:val="00587586"/>
    <w:rsid w:val="005B14C1"/>
    <w:rsid w:val="005C1990"/>
    <w:rsid w:val="005D379E"/>
    <w:rsid w:val="005E655C"/>
    <w:rsid w:val="0060138F"/>
    <w:rsid w:val="00602C54"/>
    <w:rsid w:val="00612825"/>
    <w:rsid w:val="006133A2"/>
    <w:rsid w:val="00625007"/>
    <w:rsid w:val="0063296E"/>
    <w:rsid w:val="00643586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5183B"/>
    <w:rsid w:val="00854E2B"/>
    <w:rsid w:val="008715C2"/>
    <w:rsid w:val="00894B66"/>
    <w:rsid w:val="008B75C4"/>
    <w:rsid w:val="008E683A"/>
    <w:rsid w:val="008F1510"/>
    <w:rsid w:val="008F431D"/>
    <w:rsid w:val="00913A3A"/>
    <w:rsid w:val="00975D9C"/>
    <w:rsid w:val="00984D37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D7DF7"/>
    <w:rsid w:val="00AF07AF"/>
    <w:rsid w:val="00B01A55"/>
    <w:rsid w:val="00B162E5"/>
    <w:rsid w:val="00B22E87"/>
    <w:rsid w:val="00B37EEC"/>
    <w:rsid w:val="00B61DA7"/>
    <w:rsid w:val="00B975E9"/>
    <w:rsid w:val="00BC588E"/>
    <w:rsid w:val="00BD307E"/>
    <w:rsid w:val="00BF0162"/>
    <w:rsid w:val="00C075A7"/>
    <w:rsid w:val="00C753DD"/>
    <w:rsid w:val="00C7678F"/>
    <w:rsid w:val="00C806B1"/>
    <w:rsid w:val="00C91515"/>
    <w:rsid w:val="00C93109"/>
    <w:rsid w:val="00CC7EEC"/>
    <w:rsid w:val="00CE3948"/>
    <w:rsid w:val="00CF1447"/>
    <w:rsid w:val="00D00671"/>
    <w:rsid w:val="00D15B9C"/>
    <w:rsid w:val="00D33E81"/>
    <w:rsid w:val="00D47B98"/>
    <w:rsid w:val="00D52C22"/>
    <w:rsid w:val="00D818C5"/>
    <w:rsid w:val="00D94BD0"/>
    <w:rsid w:val="00DC3CFD"/>
    <w:rsid w:val="00DE3D96"/>
    <w:rsid w:val="00DF4375"/>
    <w:rsid w:val="00E1611C"/>
    <w:rsid w:val="00E35962"/>
    <w:rsid w:val="00E41962"/>
    <w:rsid w:val="00E578D3"/>
    <w:rsid w:val="00E72FB9"/>
    <w:rsid w:val="00EA7F95"/>
    <w:rsid w:val="00ED336A"/>
    <w:rsid w:val="00ED5CC1"/>
    <w:rsid w:val="00EF69A2"/>
    <w:rsid w:val="00F5452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1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2">
    <w:name w:val="Основной текст (3)"/>
    <w:basedOn w:val="a"/>
    <w:link w:val="31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66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7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3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36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4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04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819/18e61e03d2a1ec23aed2b3f65610dd23b7a5b6f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news/detail/kak-poluchit-vypisku-iz-egryul-i-egr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services/news/detail/ustav-dlya-ooo-samoe-glavnoe-ob-osnovnom-dokumente-kompan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l1agf.xn--p1ai/services/news/detail/kak-poluchit-vypisku-iz-egryul-i-egrip/" TargetMode="External"/><Relationship Id="rId10" Type="http://schemas.openxmlformats.org/officeDocument/2006/relationships/hyperlink" Target="http://www.consultant.ru/document/cons_doc_LAW_345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services/news/detail/korporatsiya-msp-razyasnyaet-chto-izmenilos-dlya-biznesa-v-rabote-s-personalnymi-dannymi-s-1-senty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7</cp:revision>
  <cp:lastPrinted>2019-08-06T09:16:00Z</cp:lastPrinted>
  <dcterms:created xsi:type="dcterms:W3CDTF">2022-10-18T05:38:00Z</dcterms:created>
  <dcterms:modified xsi:type="dcterms:W3CDTF">2022-10-18T08:23:00Z</dcterms:modified>
</cp:coreProperties>
</file>