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94" w:rsidRPr="00F03493" w:rsidRDefault="00453794" w:rsidP="00453794">
      <w:pPr>
        <w:pStyle w:val="Style1"/>
        <w:widowControl/>
        <w:spacing w:line="240" w:lineRule="auto"/>
        <w:ind w:firstLine="708"/>
        <w:rPr>
          <w:rStyle w:val="FontStyle11"/>
          <w:b/>
          <w:sz w:val="28"/>
          <w:szCs w:val="28"/>
        </w:rPr>
      </w:pPr>
      <w:r w:rsidRPr="00F03493">
        <w:rPr>
          <w:rStyle w:val="FontStyle11"/>
          <w:b/>
          <w:sz w:val="28"/>
          <w:szCs w:val="28"/>
        </w:rPr>
        <w:t xml:space="preserve">АДМИНИСТРАЦИЯ МИХАЙЛОВСКОГО РАЙОНА </w:t>
      </w:r>
    </w:p>
    <w:p w:rsidR="00453794" w:rsidRPr="00F03493" w:rsidRDefault="00453794" w:rsidP="00453794">
      <w:pPr>
        <w:pStyle w:val="Style1"/>
        <w:widowControl/>
        <w:spacing w:line="240" w:lineRule="auto"/>
        <w:ind w:firstLine="0"/>
        <w:jc w:val="center"/>
        <w:rPr>
          <w:rStyle w:val="FontStyle11"/>
          <w:b/>
          <w:sz w:val="28"/>
          <w:szCs w:val="28"/>
        </w:rPr>
      </w:pPr>
      <w:r w:rsidRPr="00F03493">
        <w:rPr>
          <w:rStyle w:val="FontStyle11"/>
          <w:b/>
          <w:sz w:val="28"/>
          <w:szCs w:val="28"/>
        </w:rPr>
        <w:t>АЛТАЙСКОГО КРАЯ</w:t>
      </w:r>
    </w:p>
    <w:p w:rsidR="00453794" w:rsidRDefault="00453794" w:rsidP="00453794">
      <w:pPr>
        <w:pStyle w:val="Style2"/>
        <w:widowControl/>
        <w:spacing w:line="240" w:lineRule="auto"/>
        <w:jc w:val="both"/>
        <w:rPr>
          <w:rStyle w:val="FontStyle12"/>
          <w:sz w:val="28"/>
          <w:szCs w:val="28"/>
        </w:rPr>
      </w:pPr>
    </w:p>
    <w:p w:rsidR="00453794" w:rsidRDefault="00453794" w:rsidP="00453794">
      <w:pPr>
        <w:pStyle w:val="Style2"/>
        <w:widowControl/>
        <w:spacing w:line="240" w:lineRule="auto"/>
        <w:jc w:val="both"/>
        <w:rPr>
          <w:rStyle w:val="FontStyle12"/>
          <w:sz w:val="28"/>
          <w:szCs w:val="28"/>
        </w:rPr>
      </w:pPr>
    </w:p>
    <w:p w:rsidR="00453794" w:rsidRPr="00BF173F" w:rsidRDefault="00453794" w:rsidP="00453794">
      <w:pPr>
        <w:pStyle w:val="Style2"/>
        <w:widowControl/>
        <w:spacing w:line="240" w:lineRule="auto"/>
        <w:jc w:val="center"/>
        <w:rPr>
          <w:rStyle w:val="FontStyle12"/>
          <w:sz w:val="28"/>
          <w:szCs w:val="28"/>
        </w:rPr>
      </w:pPr>
      <w:r w:rsidRPr="00BF173F">
        <w:rPr>
          <w:rStyle w:val="FontStyle12"/>
          <w:sz w:val="28"/>
          <w:szCs w:val="28"/>
        </w:rPr>
        <w:t>ПОСТАНОВЛЕНИЕ</w:t>
      </w:r>
    </w:p>
    <w:p w:rsidR="00453794" w:rsidRDefault="00453794" w:rsidP="00453794">
      <w:pPr>
        <w:pStyle w:val="Style2"/>
        <w:widowControl/>
        <w:spacing w:line="240" w:lineRule="auto"/>
        <w:rPr>
          <w:rStyle w:val="FontStyle12"/>
          <w:sz w:val="28"/>
          <w:szCs w:val="28"/>
        </w:rPr>
      </w:pPr>
    </w:p>
    <w:p w:rsidR="00D9403F" w:rsidRDefault="008A4CA7" w:rsidP="00D9403F">
      <w:pPr>
        <w:pStyle w:val="Style2"/>
        <w:widowControl/>
        <w:spacing w:line="240" w:lineRule="auto"/>
        <w:rPr>
          <w:rStyle w:val="FontStyle12"/>
          <w:sz w:val="28"/>
          <w:szCs w:val="28"/>
        </w:rPr>
      </w:pPr>
      <w:r>
        <w:rPr>
          <w:rStyle w:val="FontStyle12"/>
          <w:sz w:val="28"/>
          <w:szCs w:val="28"/>
        </w:rPr>
        <w:t xml:space="preserve">27.10.2022 </w:t>
      </w:r>
      <w:r w:rsidR="00D9403F">
        <w:rPr>
          <w:rStyle w:val="FontStyle12"/>
          <w:sz w:val="28"/>
          <w:szCs w:val="28"/>
        </w:rPr>
        <w:t xml:space="preserve">г.                               </w:t>
      </w:r>
      <w:r w:rsidR="00D9403F">
        <w:rPr>
          <w:rStyle w:val="FontStyle12"/>
          <w:sz w:val="28"/>
          <w:szCs w:val="28"/>
        </w:rPr>
        <w:tab/>
      </w:r>
      <w:r w:rsidR="00D9403F">
        <w:rPr>
          <w:rStyle w:val="FontStyle12"/>
          <w:sz w:val="28"/>
          <w:szCs w:val="28"/>
        </w:rPr>
        <w:tab/>
      </w:r>
      <w:r w:rsidR="00D9403F">
        <w:rPr>
          <w:rStyle w:val="FontStyle12"/>
          <w:sz w:val="28"/>
          <w:szCs w:val="28"/>
        </w:rPr>
        <w:tab/>
        <w:t xml:space="preserve">     </w:t>
      </w:r>
      <w:r w:rsidR="00D9403F">
        <w:rPr>
          <w:rStyle w:val="FontStyle12"/>
          <w:sz w:val="28"/>
          <w:szCs w:val="28"/>
        </w:rPr>
        <w:tab/>
      </w:r>
      <w:r w:rsidR="00D9403F">
        <w:rPr>
          <w:rStyle w:val="FontStyle12"/>
          <w:sz w:val="28"/>
          <w:szCs w:val="28"/>
        </w:rPr>
        <w:tab/>
      </w:r>
      <w:r w:rsidR="00D9403F">
        <w:rPr>
          <w:rStyle w:val="FontStyle12"/>
          <w:sz w:val="28"/>
          <w:szCs w:val="28"/>
        </w:rPr>
        <w:tab/>
        <w:t xml:space="preserve">  </w:t>
      </w:r>
      <w:r>
        <w:rPr>
          <w:rStyle w:val="FontStyle12"/>
          <w:sz w:val="28"/>
          <w:szCs w:val="28"/>
        </w:rPr>
        <w:t xml:space="preserve">  586</w:t>
      </w:r>
    </w:p>
    <w:p w:rsidR="00D9403F" w:rsidRPr="00E07083" w:rsidRDefault="00D9403F" w:rsidP="00D9403F">
      <w:pPr>
        <w:pStyle w:val="Style2"/>
        <w:widowControl/>
        <w:spacing w:line="240" w:lineRule="auto"/>
        <w:jc w:val="center"/>
        <w:rPr>
          <w:rStyle w:val="FontStyle12"/>
        </w:rPr>
      </w:pPr>
      <w:proofErr w:type="spellStart"/>
      <w:r w:rsidRPr="00E07083">
        <w:rPr>
          <w:rStyle w:val="FontStyle12"/>
        </w:rPr>
        <w:t>с</w:t>
      </w:r>
      <w:proofErr w:type="gramStart"/>
      <w:r w:rsidRPr="00E07083">
        <w:rPr>
          <w:rStyle w:val="FontStyle12"/>
        </w:rPr>
        <w:t>.М</w:t>
      </w:r>
      <w:proofErr w:type="gramEnd"/>
      <w:r w:rsidRPr="00E07083">
        <w:rPr>
          <w:rStyle w:val="FontStyle12"/>
        </w:rPr>
        <w:t>ихайловское</w:t>
      </w:r>
      <w:proofErr w:type="spellEnd"/>
      <w:r>
        <w:rPr>
          <w:rStyle w:val="FontStyle12"/>
        </w:rPr>
        <w:t xml:space="preserve">    </w:t>
      </w:r>
    </w:p>
    <w:p w:rsidR="00D9403F" w:rsidRDefault="00D9403F" w:rsidP="00D9403F">
      <w:pPr>
        <w:pStyle w:val="Style3"/>
        <w:widowControl/>
        <w:spacing w:line="240" w:lineRule="auto"/>
        <w:rPr>
          <w:sz w:val="28"/>
          <w:szCs w:val="28"/>
        </w:rPr>
      </w:pP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Об одобрении  Прогноза социально – </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экономического развития Михайловского </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района  на 202</w:t>
      </w:r>
      <w:r w:rsidR="0013451E">
        <w:rPr>
          <w:rFonts w:ascii="Times New Roman" w:hAnsi="Times New Roman" w:cs="Times New Roman"/>
          <w:sz w:val="28"/>
          <w:szCs w:val="28"/>
        </w:rPr>
        <w:t>3</w:t>
      </w:r>
      <w:r w:rsidRPr="001761EC">
        <w:rPr>
          <w:rFonts w:ascii="Times New Roman" w:hAnsi="Times New Roman" w:cs="Times New Roman"/>
          <w:sz w:val="28"/>
          <w:szCs w:val="28"/>
        </w:rPr>
        <w:t xml:space="preserve"> – 202</w:t>
      </w:r>
      <w:r w:rsidR="0013451E">
        <w:rPr>
          <w:rFonts w:ascii="Times New Roman" w:hAnsi="Times New Roman" w:cs="Times New Roman"/>
          <w:sz w:val="28"/>
          <w:szCs w:val="28"/>
        </w:rPr>
        <w:t>5</w:t>
      </w:r>
      <w:r w:rsidRPr="001761EC">
        <w:rPr>
          <w:rFonts w:ascii="Times New Roman" w:hAnsi="Times New Roman" w:cs="Times New Roman"/>
          <w:sz w:val="28"/>
          <w:szCs w:val="28"/>
        </w:rPr>
        <w:t xml:space="preserve"> годы</w:t>
      </w:r>
    </w:p>
    <w:p w:rsidR="00D9403F" w:rsidRPr="001761EC" w:rsidRDefault="00D9403F" w:rsidP="00D9403F">
      <w:pPr>
        <w:spacing w:after="0" w:line="240" w:lineRule="auto"/>
        <w:rPr>
          <w:rFonts w:ascii="Times New Roman" w:hAnsi="Times New Roman" w:cs="Times New Roman"/>
          <w:sz w:val="28"/>
          <w:szCs w:val="28"/>
        </w:rPr>
      </w:pPr>
      <w:r w:rsidRPr="001761EC">
        <w:rPr>
          <w:rFonts w:ascii="Times New Roman" w:hAnsi="Times New Roman" w:cs="Times New Roman"/>
          <w:sz w:val="28"/>
          <w:szCs w:val="28"/>
        </w:rPr>
        <w:t xml:space="preserve">  </w:t>
      </w:r>
    </w:p>
    <w:p w:rsidR="00D9403F" w:rsidRPr="001761EC" w:rsidRDefault="00D9403F" w:rsidP="00D9403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 xml:space="preserve">В соответствии </w:t>
      </w:r>
      <w:r>
        <w:rPr>
          <w:rFonts w:ascii="Times New Roman" w:eastAsia="Times New Roman" w:hAnsi="Times New Roman" w:cs="Times New Roman"/>
          <w:sz w:val="28"/>
          <w:szCs w:val="24"/>
          <w:lang w:eastAsia="ru-RU"/>
        </w:rPr>
        <w:t xml:space="preserve">с </w:t>
      </w:r>
      <w:r w:rsidRPr="001761EC">
        <w:rPr>
          <w:rFonts w:ascii="Times New Roman" w:eastAsia="Times New Roman" w:hAnsi="Times New Roman" w:cs="Times New Roman"/>
          <w:sz w:val="28"/>
          <w:szCs w:val="24"/>
          <w:lang w:eastAsia="ru-RU"/>
        </w:rPr>
        <w:t xml:space="preserve">постановлением  Администрации Михайловского района от 25.04.2016 года  № 146 «Об утверждении Порядков разработки, корректировки, осуществления мониторинга и контроля реализации документов стратегического планирования»,  </w:t>
      </w:r>
    </w:p>
    <w:p w:rsidR="00D9403F" w:rsidRPr="001761EC" w:rsidRDefault="00D9403F" w:rsidP="00D9403F">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roofErr w:type="gramStart"/>
      <w:r w:rsidRPr="001761EC">
        <w:rPr>
          <w:rFonts w:ascii="Times New Roman" w:eastAsia="Times New Roman" w:hAnsi="Times New Roman" w:cs="Times New Roman"/>
          <w:sz w:val="28"/>
          <w:szCs w:val="24"/>
          <w:lang w:eastAsia="ru-RU"/>
        </w:rPr>
        <w:t>п</w:t>
      </w:r>
      <w:proofErr w:type="gramEnd"/>
      <w:r w:rsidRPr="001761EC">
        <w:rPr>
          <w:rFonts w:ascii="Times New Roman" w:eastAsia="Times New Roman" w:hAnsi="Times New Roman" w:cs="Times New Roman"/>
          <w:sz w:val="28"/>
          <w:szCs w:val="24"/>
          <w:lang w:eastAsia="ru-RU"/>
        </w:rPr>
        <w:t xml:space="preserve"> о с т а н о в л я ю:</w:t>
      </w: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1. Одобрить прогноз социально–экономического развития  Михайловского района  на  202</w:t>
      </w:r>
      <w:r w:rsidR="0013451E">
        <w:rPr>
          <w:rFonts w:ascii="Times New Roman" w:eastAsia="Times New Roman" w:hAnsi="Times New Roman" w:cs="Times New Roman"/>
          <w:sz w:val="28"/>
          <w:szCs w:val="24"/>
          <w:lang w:eastAsia="ru-RU"/>
        </w:rPr>
        <w:t>3</w:t>
      </w:r>
      <w:r w:rsidRPr="001761EC">
        <w:rPr>
          <w:rFonts w:ascii="Times New Roman" w:eastAsia="Times New Roman" w:hAnsi="Times New Roman" w:cs="Times New Roman"/>
          <w:sz w:val="28"/>
          <w:szCs w:val="24"/>
          <w:lang w:eastAsia="ru-RU"/>
        </w:rPr>
        <w:t>-202</w:t>
      </w:r>
      <w:r w:rsidR="0013451E">
        <w:rPr>
          <w:rFonts w:ascii="Times New Roman" w:eastAsia="Times New Roman" w:hAnsi="Times New Roman" w:cs="Times New Roman"/>
          <w:sz w:val="28"/>
          <w:szCs w:val="24"/>
          <w:lang w:eastAsia="ru-RU"/>
        </w:rPr>
        <w:t>5</w:t>
      </w:r>
      <w:r w:rsidRPr="001761EC">
        <w:rPr>
          <w:rFonts w:ascii="Times New Roman" w:eastAsia="Times New Roman" w:hAnsi="Times New Roman" w:cs="Times New Roman"/>
          <w:sz w:val="28"/>
          <w:szCs w:val="24"/>
          <w:lang w:eastAsia="ru-RU"/>
        </w:rPr>
        <w:t xml:space="preserve"> годы (приложение).</w:t>
      </w:r>
    </w:p>
    <w:p w:rsidR="00D9403F" w:rsidRPr="001761EC" w:rsidRDefault="00D9403F" w:rsidP="00D940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2.  Прогноз социально–экономического развития Михайловского района  на  202</w:t>
      </w:r>
      <w:r w:rsidR="0013451E">
        <w:rPr>
          <w:rFonts w:ascii="Times New Roman" w:eastAsia="Times New Roman" w:hAnsi="Times New Roman" w:cs="Times New Roman"/>
          <w:sz w:val="28"/>
          <w:szCs w:val="24"/>
          <w:lang w:eastAsia="ru-RU"/>
        </w:rPr>
        <w:t>3</w:t>
      </w:r>
      <w:r w:rsidRPr="001761EC">
        <w:rPr>
          <w:rFonts w:ascii="Times New Roman" w:eastAsia="Times New Roman" w:hAnsi="Times New Roman" w:cs="Times New Roman"/>
          <w:sz w:val="28"/>
          <w:szCs w:val="24"/>
          <w:lang w:eastAsia="ru-RU"/>
        </w:rPr>
        <w:t>-202</w:t>
      </w:r>
      <w:r w:rsidR="0013451E">
        <w:rPr>
          <w:rFonts w:ascii="Times New Roman" w:eastAsia="Times New Roman" w:hAnsi="Times New Roman" w:cs="Times New Roman"/>
          <w:sz w:val="28"/>
          <w:szCs w:val="24"/>
          <w:lang w:eastAsia="ru-RU"/>
        </w:rPr>
        <w:t>5</w:t>
      </w:r>
      <w:r w:rsidRPr="001761EC">
        <w:rPr>
          <w:rFonts w:ascii="Times New Roman" w:eastAsia="Times New Roman" w:hAnsi="Times New Roman" w:cs="Times New Roman"/>
          <w:sz w:val="28"/>
          <w:szCs w:val="24"/>
          <w:lang w:eastAsia="ru-RU"/>
        </w:rPr>
        <w:t xml:space="preserve"> годы  представить в Михайловское районное Собрание депутатов одновременно с проектом  решения о районном бюджете на 202</w:t>
      </w:r>
      <w:r w:rsidR="0013451E">
        <w:rPr>
          <w:rFonts w:ascii="Times New Roman" w:eastAsia="Times New Roman" w:hAnsi="Times New Roman" w:cs="Times New Roman"/>
          <w:sz w:val="28"/>
          <w:szCs w:val="24"/>
          <w:lang w:eastAsia="ru-RU"/>
        </w:rPr>
        <w:t>3</w:t>
      </w:r>
      <w:r w:rsidRPr="001761EC">
        <w:rPr>
          <w:rFonts w:ascii="Times New Roman" w:eastAsia="Times New Roman" w:hAnsi="Times New Roman" w:cs="Times New Roman"/>
          <w:sz w:val="28"/>
          <w:szCs w:val="24"/>
          <w:lang w:eastAsia="ru-RU"/>
        </w:rPr>
        <w:t xml:space="preserve"> год.</w:t>
      </w:r>
    </w:p>
    <w:p w:rsidR="00FF2766" w:rsidRPr="00FF2766" w:rsidRDefault="00D9403F" w:rsidP="00D9403F">
      <w:pPr>
        <w:tabs>
          <w:tab w:val="left" w:pos="56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61EC">
        <w:rPr>
          <w:rFonts w:ascii="Times New Roman" w:eastAsia="Times New Roman" w:hAnsi="Times New Roman" w:cs="Times New Roman"/>
          <w:sz w:val="28"/>
          <w:szCs w:val="24"/>
          <w:lang w:eastAsia="ru-RU"/>
        </w:rPr>
        <w:tab/>
        <w:t xml:space="preserve">3. </w:t>
      </w:r>
      <w:proofErr w:type="gramStart"/>
      <w:r w:rsidRPr="001761EC">
        <w:rPr>
          <w:rFonts w:ascii="Times New Roman" w:eastAsia="Times New Roman" w:hAnsi="Times New Roman" w:cs="Times New Roman"/>
          <w:sz w:val="28"/>
          <w:szCs w:val="24"/>
          <w:lang w:eastAsia="ru-RU"/>
        </w:rPr>
        <w:t>Контроль за</w:t>
      </w:r>
      <w:proofErr w:type="gramEnd"/>
      <w:r w:rsidRPr="001761EC">
        <w:rPr>
          <w:rFonts w:ascii="Times New Roman" w:eastAsia="Times New Roman" w:hAnsi="Times New Roman" w:cs="Times New Roman"/>
          <w:sz w:val="28"/>
          <w:szCs w:val="24"/>
          <w:lang w:eastAsia="ru-RU"/>
        </w:rPr>
        <w:t xml:space="preserve"> исполнением </w:t>
      </w:r>
      <w:r>
        <w:rPr>
          <w:rFonts w:ascii="Times New Roman" w:eastAsia="Times New Roman" w:hAnsi="Times New Roman" w:cs="Times New Roman"/>
          <w:sz w:val="28"/>
          <w:szCs w:val="24"/>
          <w:lang w:eastAsia="ru-RU"/>
        </w:rPr>
        <w:t xml:space="preserve">настоящего </w:t>
      </w:r>
      <w:r w:rsidRPr="001761EC">
        <w:rPr>
          <w:rFonts w:ascii="Times New Roman" w:eastAsia="Times New Roman" w:hAnsi="Times New Roman" w:cs="Times New Roman"/>
          <w:sz w:val="28"/>
          <w:szCs w:val="24"/>
          <w:lang w:eastAsia="ru-RU"/>
        </w:rPr>
        <w:t>постановления возложить на начальника Главного управления по экономическому развитию и имущественным отношениям Администрации района  Антонову О.А.</w:t>
      </w:r>
    </w:p>
    <w:p w:rsidR="00575933" w:rsidRPr="00575933" w:rsidRDefault="00575933" w:rsidP="00575933">
      <w:pPr>
        <w:pStyle w:val="Style5"/>
        <w:widowControl/>
        <w:tabs>
          <w:tab w:val="left" w:pos="567"/>
        </w:tabs>
        <w:spacing w:line="240" w:lineRule="auto"/>
        <w:ind w:firstLine="0"/>
        <w:rPr>
          <w:sz w:val="28"/>
        </w:rPr>
      </w:pPr>
    </w:p>
    <w:p w:rsidR="00453794" w:rsidRPr="00575933" w:rsidRDefault="00453794" w:rsidP="00575933">
      <w:pPr>
        <w:widowControl w:val="0"/>
        <w:autoSpaceDE w:val="0"/>
        <w:autoSpaceDN w:val="0"/>
        <w:adjustRightInd w:val="0"/>
        <w:spacing w:after="0" w:line="240" w:lineRule="auto"/>
        <w:ind w:firstLine="540"/>
        <w:jc w:val="both"/>
        <w:rPr>
          <w:rFonts w:ascii="Times New Roman" w:hAnsi="Times New Roman" w:cs="Times New Roman"/>
          <w:sz w:val="28"/>
        </w:rPr>
      </w:pPr>
    </w:p>
    <w:p w:rsidR="00453794" w:rsidRPr="00575933" w:rsidRDefault="00453794" w:rsidP="00453794">
      <w:pPr>
        <w:widowControl w:val="0"/>
        <w:autoSpaceDE w:val="0"/>
        <w:autoSpaceDN w:val="0"/>
        <w:adjustRightInd w:val="0"/>
        <w:spacing w:after="0" w:line="240" w:lineRule="auto"/>
        <w:jc w:val="both"/>
        <w:rPr>
          <w:rFonts w:ascii="Times New Roman" w:hAnsi="Times New Roman" w:cs="Times New Roman"/>
          <w:sz w:val="28"/>
        </w:rPr>
      </w:pPr>
    </w:p>
    <w:p w:rsidR="00011C12" w:rsidRPr="00575933" w:rsidRDefault="00011C12" w:rsidP="00011C12">
      <w:pPr>
        <w:widowControl w:val="0"/>
        <w:autoSpaceDE w:val="0"/>
        <w:autoSpaceDN w:val="0"/>
        <w:adjustRightInd w:val="0"/>
        <w:spacing w:after="0" w:line="240" w:lineRule="auto"/>
        <w:rPr>
          <w:rFonts w:ascii="Times New Roman" w:hAnsi="Times New Roman" w:cs="Times New Roman"/>
          <w:sz w:val="28"/>
        </w:rPr>
      </w:pPr>
    </w:p>
    <w:p w:rsidR="00453794" w:rsidRDefault="00C57285" w:rsidP="00011C12">
      <w:pPr>
        <w:widowControl w:val="0"/>
        <w:autoSpaceDE w:val="0"/>
        <w:autoSpaceDN w:val="0"/>
        <w:adjustRightInd w:val="0"/>
        <w:spacing w:after="0" w:line="240" w:lineRule="auto"/>
        <w:rPr>
          <w:rFonts w:ascii="Times New Roman" w:hAnsi="Times New Roman" w:cs="Times New Roman"/>
          <w:sz w:val="28"/>
        </w:rPr>
      </w:pPr>
      <w:r>
        <w:rPr>
          <w:rFonts w:ascii="Times New Roman" w:hAnsi="Times New Roman" w:cs="Times New Roman"/>
          <w:sz w:val="28"/>
        </w:rPr>
        <w:t>Г</w:t>
      </w:r>
      <w:r w:rsidR="00195BAB">
        <w:rPr>
          <w:rFonts w:ascii="Times New Roman" w:hAnsi="Times New Roman" w:cs="Times New Roman"/>
          <w:sz w:val="28"/>
        </w:rPr>
        <w:t>лав</w:t>
      </w:r>
      <w:r>
        <w:rPr>
          <w:rFonts w:ascii="Times New Roman" w:hAnsi="Times New Roman" w:cs="Times New Roman"/>
          <w:sz w:val="28"/>
        </w:rPr>
        <w:t>а</w:t>
      </w:r>
      <w:r w:rsidR="00195BAB">
        <w:rPr>
          <w:rFonts w:ascii="Times New Roman" w:hAnsi="Times New Roman" w:cs="Times New Roman"/>
          <w:sz w:val="28"/>
        </w:rPr>
        <w:t xml:space="preserve"> </w:t>
      </w:r>
      <w:r w:rsidR="00453794" w:rsidRPr="00575933">
        <w:rPr>
          <w:rFonts w:ascii="Times New Roman" w:hAnsi="Times New Roman" w:cs="Times New Roman"/>
          <w:sz w:val="28"/>
        </w:rPr>
        <w:t xml:space="preserve"> </w:t>
      </w:r>
      <w:r w:rsidR="00011C12" w:rsidRPr="00575933">
        <w:rPr>
          <w:rFonts w:ascii="Times New Roman" w:hAnsi="Times New Roman" w:cs="Times New Roman"/>
          <w:sz w:val="28"/>
        </w:rPr>
        <w:t xml:space="preserve">района                    </w:t>
      </w:r>
      <w:r w:rsidR="00D068E8" w:rsidRPr="00575933">
        <w:rPr>
          <w:rFonts w:ascii="Times New Roman" w:hAnsi="Times New Roman" w:cs="Times New Roman"/>
          <w:sz w:val="28"/>
        </w:rPr>
        <w:tab/>
      </w:r>
      <w:r w:rsidR="00011C12" w:rsidRPr="00575933">
        <w:rPr>
          <w:rFonts w:ascii="Times New Roman" w:hAnsi="Times New Roman" w:cs="Times New Roman"/>
          <w:sz w:val="28"/>
        </w:rPr>
        <w:t xml:space="preserve"> </w:t>
      </w:r>
      <w:r w:rsidR="006D1A07" w:rsidRPr="00575933">
        <w:rPr>
          <w:rFonts w:ascii="Times New Roman" w:hAnsi="Times New Roman" w:cs="Times New Roman"/>
          <w:sz w:val="28"/>
        </w:rPr>
        <w:tab/>
      </w:r>
      <w:r w:rsidR="006D1A07" w:rsidRPr="00575933">
        <w:rPr>
          <w:rFonts w:ascii="Times New Roman" w:hAnsi="Times New Roman" w:cs="Times New Roman"/>
          <w:sz w:val="28"/>
        </w:rPr>
        <w:tab/>
      </w:r>
      <w:r w:rsidR="006D1A07" w:rsidRPr="00575933">
        <w:rPr>
          <w:rFonts w:ascii="Times New Roman" w:hAnsi="Times New Roman" w:cs="Times New Roman"/>
          <w:sz w:val="28"/>
        </w:rPr>
        <w:tab/>
        <w:t xml:space="preserve">   </w:t>
      </w:r>
      <w:r w:rsidR="00195BAB">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195BAB">
        <w:rPr>
          <w:rFonts w:ascii="Times New Roman" w:hAnsi="Times New Roman" w:cs="Times New Roman"/>
          <w:sz w:val="28"/>
        </w:rPr>
        <w:t>Е.А. Юрьев</w:t>
      </w: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4D71AD" w:rsidRDefault="004D71AD" w:rsidP="00011C12">
      <w:pPr>
        <w:widowControl w:val="0"/>
        <w:autoSpaceDE w:val="0"/>
        <w:autoSpaceDN w:val="0"/>
        <w:adjustRightInd w:val="0"/>
        <w:spacing w:after="0" w:line="240" w:lineRule="auto"/>
        <w:rPr>
          <w:rFonts w:ascii="Times New Roman" w:hAnsi="Times New Roman" w:cs="Times New Roman"/>
          <w:sz w:val="28"/>
        </w:rPr>
      </w:pPr>
    </w:p>
    <w:p w:rsidR="004D71AD" w:rsidRDefault="004D71AD" w:rsidP="00011C12">
      <w:pPr>
        <w:widowControl w:val="0"/>
        <w:autoSpaceDE w:val="0"/>
        <w:autoSpaceDN w:val="0"/>
        <w:adjustRightInd w:val="0"/>
        <w:spacing w:after="0" w:line="240" w:lineRule="auto"/>
        <w:rPr>
          <w:rFonts w:ascii="Times New Roman" w:hAnsi="Times New Roman" w:cs="Times New Roman"/>
          <w:sz w:val="28"/>
        </w:rPr>
      </w:pPr>
    </w:p>
    <w:p w:rsidR="004D71AD" w:rsidRDefault="004D71AD" w:rsidP="00011C12">
      <w:pPr>
        <w:widowControl w:val="0"/>
        <w:autoSpaceDE w:val="0"/>
        <w:autoSpaceDN w:val="0"/>
        <w:adjustRightInd w:val="0"/>
        <w:spacing w:after="0" w:line="240" w:lineRule="auto"/>
        <w:rPr>
          <w:rFonts w:ascii="Times New Roman" w:hAnsi="Times New Roman" w:cs="Times New Roman"/>
          <w:sz w:val="28"/>
        </w:rPr>
        <w:sectPr w:rsidR="004D71AD" w:rsidSect="00D27DA2">
          <w:pgSz w:w="11906" w:h="16838"/>
          <w:pgMar w:top="851" w:right="850" w:bottom="851" w:left="1276" w:header="708" w:footer="708" w:gutter="0"/>
          <w:cols w:space="708"/>
          <w:docGrid w:linePitch="360"/>
        </w:sectPr>
      </w:pPr>
    </w:p>
    <w:tbl>
      <w:tblPr>
        <w:tblW w:w="16593" w:type="dxa"/>
        <w:tblInd w:w="-34" w:type="dxa"/>
        <w:tblLayout w:type="fixed"/>
        <w:tblLook w:val="04A0" w:firstRow="1" w:lastRow="0" w:firstColumn="1" w:lastColumn="0" w:noHBand="0" w:noVBand="1"/>
      </w:tblPr>
      <w:tblGrid>
        <w:gridCol w:w="127"/>
        <w:gridCol w:w="296"/>
        <w:gridCol w:w="190"/>
        <w:gridCol w:w="4632"/>
        <w:gridCol w:w="1041"/>
        <w:gridCol w:w="1041"/>
        <w:gridCol w:w="1052"/>
        <w:gridCol w:w="1041"/>
        <w:gridCol w:w="1041"/>
        <w:gridCol w:w="1041"/>
        <w:gridCol w:w="986"/>
        <w:gridCol w:w="986"/>
        <w:gridCol w:w="1041"/>
        <w:gridCol w:w="986"/>
        <w:gridCol w:w="1092"/>
      </w:tblGrid>
      <w:tr w:rsidR="006A0D45" w:rsidRPr="006C575F" w:rsidTr="006E643C">
        <w:trPr>
          <w:trHeight w:val="837"/>
        </w:trPr>
        <w:tc>
          <w:tcPr>
            <w:tcW w:w="16593" w:type="dxa"/>
            <w:gridSpan w:val="15"/>
            <w:shd w:val="clear" w:color="auto" w:fill="auto"/>
            <w:hideMark/>
          </w:tcPr>
          <w:p w:rsidR="006A0D45" w:rsidRDefault="006A0D45" w:rsidP="006A0D45">
            <w:pPr>
              <w:spacing w:after="0" w:line="240" w:lineRule="auto"/>
              <w:jc w:val="right"/>
              <w:rPr>
                <w:rFonts w:ascii="Times New Roman" w:eastAsia="Times New Roman" w:hAnsi="Times New Roman" w:cs="Times New Roman"/>
                <w:color w:val="000000"/>
                <w:sz w:val="24"/>
                <w:szCs w:val="24"/>
                <w:lang w:eastAsia="ru-RU"/>
              </w:rPr>
            </w:pPr>
          </w:p>
          <w:p w:rsidR="006A0D45" w:rsidRPr="00581F89" w:rsidRDefault="006A0D45" w:rsidP="006A0D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При</w:t>
            </w:r>
            <w:r w:rsidRPr="00581F89">
              <w:rPr>
                <w:rFonts w:ascii="Times New Roman" w:eastAsia="Times New Roman" w:hAnsi="Times New Roman" w:cs="Times New Roman"/>
                <w:color w:val="000000"/>
                <w:lang w:eastAsia="ru-RU"/>
              </w:rPr>
              <w:t xml:space="preserve">ложение </w:t>
            </w:r>
          </w:p>
          <w:p w:rsidR="006A0D45" w:rsidRDefault="006A0D45" w:rsidP="006A0D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 </w:t>
            </w:r>
            <w:r w:rsidRPr="00581F89">
              <w:rPr>
                <w:rFonts w:ascii="Times New Roman" w:eastAsia="Times New Roman" w:hAnsi="Times New Roman" w:cs="Times New Roman"/>
                <w:color w:val="000000"/>
                <w:lang w:eastAsia="ru-RU"/>
              </w:rPr>
              <w:t xml:space="preserve"> постановлению Администрации </w:t>
            </w:r>
          </w:p>
          <w:p w:rsidR="006A0D45" w:rsidRPr="00581F89" w:rsidRDefault="006A0D45" w:rsidP="006A0D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81F89">
              <w:rPr>
                <w:rFonts w:ascii="Times New Roman" w:eastAsia="Times New Roman" w:hAnsi="Times New Roman" w:cs="Times New Roman"/>
                <w:color w:val="000000"/>
                <w:lang w:eastAsia="ru-RU"/>
              </w:rPr>
              <w:t>Михайловского района</w:t>
            </w:r>
          </w:p>
          <w:p w:rsidR="006A0D45" w:rsidRPr="006C575F" w:rsidRDefault="006A0D45" w:rsidP="006A0D45">
            <w:pPr>
              <w:spacing w:after="0" w:line="240" w:lineRule="auto"/>
              <w:jc w:val="center"/>
              <w:rPr>
                <w:rFonts w:ascii="Times New Roman" w:eastAsia="Times New Roman" w:hAnsi="Times New Roman" w:cs="Times New Roman"/>
                <w:color w:val="000000"/>
                <w:sz w:val="24"/>
                <w:szCs w:val="24"/>
                <w:lang w:eastAsia="ru-RU"/>
              </w:rPr>
            </w:pPr>
            <w:r w:rsidRPr="00581F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581F89">
              <w:rPr>
                <w:rFonts w:ascii="Times New Roman" w:eastAsia="Times New Roman" w:hAnsi="Times New Roman" w:cs="Times New Roman"/>
                <w:color w:val="000000"/>
                <w:lang w:eastAsia="ru-RU"/>
              </w:rPr>
              <w:t xml:space="preserve">от </w:t>
            </w:r>
            <w:r>
              <w:rPr>
                <w:rFonts w:ascii="Times New Roman" w:eastAsia="Times New Roman" w:hAnsi="Times New Roman" w:cs="Times New Roman"/>
                <w:color w:val="000000"/>
                <w:lang w:eastAsia="ru-RU"/>
              </w:rPr>
              <w:t xml:space="preserve">27.10.22 </w:t>
            </w:r>
            <w:r w:rsidRPr="00581F89">
              <w:rPr>
                <w:rFonts w:ascii="Times New Roman" w:eastAsia="Times New Roman" w:hAnsi="Times New Roman" w:cs="Times New Roman"/>
                <w:color w:val="000000"/>
                <w:lang w:eastAsia="ru-RU"/>
              </w:rPr>
              <w:t xml:space="preserve"> г.  № </w:t>
            </w:r>
            <w:r>
              <w:rPr>
                <w:rFonts w:ascii="Times New Roman" w:eastAsia="Times New Roman" w:hAnsi="Times New Roman" w:cs="Times New Roman"/>
                <w:color w:val="000000"/>
                <w:lang w:eastAsia="ru-RU"/>
              </w:rPr>
              <w:t>586</w:t>
            </w:r>
          </w:p>
        </w:tc>
      </w:tr>
      <w:tr w:rsidR="004D71AD" w:rsidRPr="006C575F" w:rsidTr="006A0D45">
        <w:trPr>
          <w:gridAfter w:val="13"/>
          <w:wAfter w:w="16170" w:type="dxa"/>
          <w:trHeight w:val="300"/>
        </w:trPr>
        <w:tc>
          <w:tcPr>
            <w:tcW w:w="423" w:type="dxa"/>
            <w:gridSpan w:val="2"/>
            <w:shd w:val="clear" w:color="auto" w:fill="auto"/>
            <w:noWrap/>
            <w:vAlign w:val="bottom"/>
            <w:hideMark/>
          </w:tcPr>
          <w:p w:rsidR="004D71AD" w:rsidRPr="006C575F" w:rsidRDefault="004D71AD" w:rsidP="004D71AD">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p>
        </w:tc>
      </w:tr>
      <w:tr w:rsidR="004D71AD" w:rsidRPr="006C575F" w:rsidTr="006A0D45">
        <w:trPr>
          <w:trHeight w:val="279"/>
        </w:trPr>
        <w:tc>
          <w:tcPr>
            <w:tcW w:w="16593" w:type="dxa"/>
            <w:gridSpan w:val="15"/>
            <w:shd w:val="clear" w:color="auto" w:fill="auto"/>
            <w:hideMark/>
          </w:tcPr>
          <w:p w:rsidR="004D71AD" w:rsidRDefault="004D71AD" w:rsidP="004D71AD">
            <w:pPr>
              <w:spacing w:after="0" w:line="240" w:lineRule="auto"/>
              <w:jc w:val="center"/>
              <w:rPr>
                <w:rFonts w:ascii="Times New Roman" w:eastAsia="Times New Roman" w:hAnsi="Times New Roman" w:cs="Times New Roman"/>
                <w:b/>
                <w:bCs/>
                <w:color w:val="000000"/>
                <w:lang w:eastAsia="ru-RU"/>
              </w:rPr>
            </w:pPr>
            <w:r w:rsidRPr="006C575F">
              <w:rPr>
                <w:rFonts w:ascii="Times New Roman" w:eastAsia="Times New Roman" w:hAnsi="Times New Roman" w:cs="Times New Roman"/>
                <w:b/>
                <w:bCs/>
                <w:color w:val="000000"/>
                <w:lang w:eastAsia="ru-RU"/>
              </w:rPr>
              <w:t>Прогноз социально-экономического развития Михайловского района на 20</w:t>
            </w:r>
            <w:r>
              <w:rPr>
                <w:rFonts w:ascii="Times New Roman" w:eastAsia="Times New Roman" w:hAnsi="Times New Roman" w:cs="Times New Roman"/>
                <w:b/>
                <w:bCs/>
                <w:color w:val="000000"/>
                <w:lang w:eastAsia="ru-RU"/>
              </w:rPr>
              <w:t>23</w:t>
            </w:r>
            <w:r w:rsidRPr="006C575F">
              <w:rPr>
                <w:rFonts w:ascii="Times New Roman" w:eastAsia="Times New Roman" w:hAnsi="Times New Roman" w:cs="Times New Roman"/>
                <w:b/>
                <w:bCs/>
                <w:color w:val="000000"/>
                <w:lang w:eastAsia="ru-RU"/>
              </w:rPr>
              <w:t>-202</w:t>
            </w:r>
            <w:r>
              <w:rPr>
                <w:rFonts w:ascii="Times New Roman" w:eastAsia="Times New Roman" w:hAnsi="Times New Roman" w:cs="Times New Roman"/>
                <w:b/>
                <w:bCs/>
                <w:color w:val="000000"/>
                <w:lang w:eastAsia="ru-RU"/>
              </w:rPr>
              <w:t>5</w:t>
            </w:r>
            <w:r w:rsidRPr="006C575F">
              <w:rPr>
                <w:rFonts w:ascii="Times New Roman" w:eastAsia="Times New Roman" w:hAnsi="Times New Roman" w:cs="Times New Roman"/>
                <w:b/>
                <w:bCs/>
                <w:color w:val="000000"/>
                <w:lang w:eastAsia="ru-RU"/>
              </w:rPr>
              <w:t xml:space="preserve"> годы </w:t>
            </w:r>
          </w:p>
          <w:p w:rsidR="004D71AD" w:rsidRPr="006C575F" w:rsidRDefault="004D71AD" w:rsidP="004D71AD">
            <w:pPr>
              <w:spacing w:after="0" w:line="240" w:lineRule="auto"/>
              <w:rPr>
                <w:rFonts w:ascii="Times New Roman" w:eastAsia="Times New Roman" w:hAnsi="Times New Roman" w:cs="Times New Roman"/>
                <w:b/>
                <w:bCs/>
                <w:color w:val="000000"/>
                <w:lang w:eastAsia="ru-RU"/>
              </w:rPr>
            </w:pPr>
          </w:p>
        </w:tc>
      </w:tr>
      <w:tr w:rsidR="004D71AD" w:rsidRPr="004D71AD" w:rsidTr="006A0D45">
        <w:trPr>
          <w:gridBefore w:val="1"/>
          <w:gridAfter w:val="1"/>
          <w:wBefore w:w="127" w:type="dxa"/>
          <w:wAfter w:w="1092" w:type="dxa"/>
          <w:trHeight w:val="315"/>
        </w:trPr>
        <w:tc>
          <w:tcPr>
            <w:tcW w:w="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 xml:space="preserve">№ </w:t>
            </w:r>
            <w:proofErr w:type="gramStart"/>
            <w:r w:rsidRPr="004D71AD">
              <w:rPr>
                <w:rFonts w:ascii="Times New Roman" w:eastAsia="Times New Roman" w:hAnsi="Times New Roman" w:cs="Times New Roman"/>
                <w:color w:val="000000"/>
                <w:sz w:val="20"/>
                <w:szCs w:val="20"/>
                <w:lang w:eastAsia="ru-RU"/>
              </w:rPr>
              <w:t>п</w:t>
            </w:r>
            <w:proofErr w:type="gramEnd"/>
            <w:r w:rsidRPr="004D71AD">
              <w:rPr>
                <w:rFonts w:ascii="Times New Roman" w:eastAsia="Times New Roman" w:hAnsi="Times New Roman" w:cs="Times New Roman"/>
                <w:color w:val="000000"/>
                <w:sz w:val="20"/>
                <w:szCs w:val="20"/>
                <w:lang w:eastAsia="ru-RU"/>
              </w:rPr>
              <w:t>/п</w:t>
            </w:r>
          </w:p>
        </w:tc>
        <w:tc>
          <w:tcPr>
            <w:tcW w:w="4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Показатели</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2020г. факт</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2021г. Факт</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 xml:space="preserve">1 </w:t>
            </w:r>
            <w:r w:rsidRPr="004D71AD">
              <w:rPr>
                <w:rFonts w:ascii="Times New Roman" w:eastAsia="Times New Roman" w:hAnsi="Times New Roman" w:cs="Times New Roman"/>
                <w:color w:val="000000"/>
                <w:sz w:val="18"/>
                <w:szCs w:val="18"/>
                <w:lang w:eastAsia="ru-RU"/>
              </w:rPr>
              <w:t xml:space="preserve">полугодие </w:t>
            </w:r>
            <w:r w:rsidRPr="004D71AD">
              <w:rPr>
                <w:rFonts w:ascii="Times New Roman" w:eastAsia="Times New Roman" w:hAnsi="Times New Roman" w:cs="Times New Roman"/>
                <w:color w:val="000000"/>
                <w:sz w:val="20"/>
                <w:szCs w:val="20"/>
                <w:lang w:eastAsia="ru-RU"/>
              </w:rPr>
              <w:t>2022      факт</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2022г. Оценка</w:t>
            </w:r>
          </w:p>
        </w:tc>
        <w:tc>
          <w:tcPr>
            <w:tcW w:w="6081" w:type="dxa"/>
            <w:gridSpan w:val="6"/>
            <w:tcBorders>
              <w:top w:val="single" w:sz="4" w:space="0" w:color="auto"/>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прогноз</w:t>
            </w:r>
          </w:p>
        </w:tc>
      </w:tr>
      <w:tr w:rsidR="004D71AD" w:rsidRPr="004D71AD" w:rsidTr="006A0D45">
        <w:trPr>
          <w:gridBefore w:val="1"/>
          <w:gridAfter w:val="1"/>
          <w:wBefore w:w="127" w:type="dxa"/>
          <w:wAfter w:w="1092" w:type="dxa"/>
          <w:trHeight w:val="315"/>
        </w:trPr>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4632"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2023г.</w:t>
            </w:r>
          </w:p>
        </w:tc>
        <w:tc>
          <w:tcPr>
            <w:tcW w:w="1972" w:type="dxa"/>
            <w:gridSpan w:val="2"/>
            <w:tcBorders>
              <w:top w:val="single" w:sz="4" w:space="0" w:color="auto"/>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2024г.</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2025г.</w:t>
            </w:r>
          </w:p>
        </w:tc>
      </w:tr>
      <w:tr w:rsidR="004D71AD" w:rsidRPr="004D71AD" w:rsidTr="006A0D45">
        <w:trPr>
          <w:gridBefore w:val="1"/>
          <w:gridAfter w:val="1"/>
          <w:wBefore w:w="127" w:type="dxa"/>
          <w:wAfter w:w="1092" w:type="dxa"/>
          <w:trHeight w:val="390"/>
        </w:trPr>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4632"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4D71AD" w:rsidRPr="004D71AD" w:rsidRDefault="004D71AD" w:rsidP="004D71AD">
            <w:pPr>
              <w:spacing w:after="0" w:line="240" w:lineRule="auto"/>
              <w:rPr>
                <w:rFonts w:ascii="Times New Roman" w:eastAsia="Times New Roman" w:hAnsi="Times New Roman" w:cs="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1</w:t>
            </w:r>
          </w:p>
        </w:tc>
        <w:tc>
          <w:tcPr>
            <w:tcW w:w="1041"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2</w:t>
            </w:r>
          </w:p>
        </w:tc>
        <w:tc>
          <w:tcPr>
            <w:tcW w:w="986"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1</w:t>
            </w:r>
          </w:p>
        </w:tc>
        <w:tc>
          <w:tcPr>
            <w:tcW w:w="986"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2</w:t>
            </w:r>
          </w:p>
        </w:tc>
        <w:tc>
          <w:tcPr>
            <w:tcW w:w="1041"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1</w:t>
            </w:r>
          </w:p>
        </w:tc>
        <w:tc>
          <w:tcPr>
            <w:tcW w:w="986" w:type="dxa"/>
            <w:tcBorders>
              <w:top w:val="nil"/>
              <w:left w:val="nil"/>
              <w:bottom w:val="single" w:sz="4" w:space="0" w:color="auto"/>
              <w:right w:val="single" w:sz="4" w:space="0" w:color="auto"/>
            </w:tcBorders>
            <w:shd w:val="clear" w:color="auto" w:fill="auto"/>
            <w:vAlign w:val="center"/>
            <w:hideMark/>
          </w:tcPr>
          <w:p w:rsidR="004D71AD" w:rsidRPr="004D71AD" w:rsidRDefault="004D71AD" w:rsidP="004D71AD">
            <w:pPr>
              <w:spacing w:after="0" w:line="240" w:lineRule="auto"/>
              <w:jc w:val="center"/>
              <w:rPr>
                <w:rFonts w:ascii="Times New Roman" w:eastAsia="Times New Roman" w:hAnsi="Times New Roman" w:cs="Times New Roman"/>
                <w:color w:val="000000"/>
                <w:sz w:val="20"/>
                <w:szCs w:val="20"/>
                <w:lang w:eastAsia="ru-RU"/>
              </w:rPr>
            </w:pPr>
            <w:r w:rsidRPr="004D71AD">
              <w:rPr>
                <w:rFonts w:ascii="Times New Roman" w:eastAsia="Times New Roman" w:hAnsi="Times New Roman" w:cs="Times New Roman"/>
                <w:color w:val="000000"/>
                <w:sz w:val="20"/>
                <w:szCs w:val="20"/>
                <w:lang w:eastAsia="ru-RU"/>
              </w:rPr>
              <w:t>вариант 2</w:t>
            </w:r>
          </w:p>
        </w:tc>
      </w:tr>
      <w:tr w:rsidR="004D71AD" w:rsidRPr="004D71AD" w:rsidTr="006A0D45">
        <w:trPr>
          <w:gridBefore w:val="1"/>
          <w:gridAfter w:val="1"/>
          <w:wBefore w:w="127" w:type="dxa"/>
          <w:wAfter w:w="1092" w:type="dxa"/>
          <w:trHeight w:val="735"/>
        </w:trPr>
        <w:tc>
          <w:tcPr>
            <w:tcW w:w="486" w:type="dxa"/>
            <w:gridSpan w:val="2"/>
            <w:tcBorders>
              <w:top w:val="nil"/>
              <w:left w:val="single" w:sz="4" w:space="0" w:color="auto"/>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Среднегодовая численность постоянного населения, человек</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19076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18781</w:t>
            </w:r>
          </w:p>
        </w:tc>
        <w:tc>
          <w:tcPr>
            <w:tcW w:w="105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18623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18582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18372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18389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18199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18234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18046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18098</w:t>
            </w:r>
          </w:p>
        </w:tc>
      </w:tr>
      <w:tr w:rsidR="004D71AD" w:rsidRPr="004D71AD" w:rsidTr="006A0D45">
        <w:trPr>
          <w:gridBefore w:val="1"/>
          <w:gridAfter w:val="1"/>
          <w:wBefore w:w="127" w:type="dxa"/>
          <w:wAfter w:w="1092" w:type="dxa"/>
          <w:trHeight w:val="1012"/>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Объем отгруженных товаров собственного производства, выполненных работ, услуг собственными силами по кругу крупных и средних организаций, млн.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755890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820985</w:t>
            </w:r>
          </w:p>
        </w:tc>
        <w:tc>
          <w:tcPr>
            <w:tcW w:w="1052" w:type="dxa"/>
            <w:tcBorders>
              <w:top w:val="nil"/>
              <w:left w:val="nil"/>
              <w:bottom w:val="nil"/>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674934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912865,5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964710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974280,4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1023359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1044457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1091725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1125931</w:t>
            </w:r>
          </w:p>
        </w:tc>
      </w:tr>
      <w:tr w:rsidR="004D71AD" w:rsidRPr="004D71AD" w:rsidTr="006A0D45">
        <w:trPr>
          <w:gridBefore w:val="1"/>
          <w:gridAfter w:val="1"/>
          <w:wBefore w:w="127" w:type="dxa"/>
          <w:wAfter w:w="1092" w:type="dxa"/>
          <w:trHeight w:val="842"/>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Индекс промышленного производства по кругу крупных и средних организаций,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99,2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80,7</w:t>
            </w:r>
          </w:p>
        </w:tc>
        <w:tc>
          <w:tcPr>
            <w:tcW w:w="1052" w:type="dxa"/>
            <w:tcBorders>
              <w:top w:val="single" w:sz="4" w:space="0" w:color="auto"/>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91,9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99,4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101,4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102,2</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101,6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103,2</w:t>
            </w:r>
          </w:p>
        </w:tc>
      </w:tr>
      <w:tr w:rsidR="004D71AD" w:rsidRPr="004D71AD" w:rsidTr="006A0D45">
        <w:trPr>
          <w:gridBefore w:val="1"/>
          <w:gridAfter w:val="1"/>
          <w:wBefore w:w="127" w:type="dxa"/>
          <w:wAfter w:w="1092" w:type="dxa"/>
          <w:trHeight w:val="556"/>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4</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Объем продукции сельского хозяйства в хозяйствах всех категорий, </w:t>
            </w:r>
            <w:proofErr w:type="spellStart"/>
            <w:r w:rsidRPr="004D71AD">
              <w:rPr>
                <w:rFonts w:ascii="Times New Roman" w:eastAsia="Times New Roman" w:hAnsi="Times New Roman" w:cs="Times New Roman"/>
                <w:color w:val="000000"/>
                <w:lang w:eastAsia="ru-RU"/>
              </w:rPr>
              <w:t>млн</w:t>
            </w:r>
            <w:proofErr w:type="gramStart"/>
            <w:r w:rsidRPr="004D71AD">
              <w:rPr>
                <w:rFonts w:ascii="Times New Roman" w:eastAsia="Times New Roman" w:hAnsi="Times New Roman" w:cs="Times New Roman"/>
                <w:color w:val="000000"/>
                <w:lang w:eastAsia="ru-RU"/>
              </w:rPr>
              <w:t>.р</w:t>
            </w:r>
            <w:proofErr w:type="gramEnd"/>
            <w:r w:rsidRPr="004D71AD">
              <w:rPr>
                <w:rFonts w:ascii="Times New Roman" w:eastAsia="Times New Roman" w:hAnsi="Times New Roman" w:cs="Times New Roman"/>
                <w:color w:val="000000"/>
                <w:lang w:eastAsia="ru-RU"/>
              </w:rPr>
              <w:t>уб</w:t>
            </w:r>
            <w:proofErr w:type="spellEnd"/>
            <w:r w:rsidRPr="004D71AD">
              <w:rPr>
                <w:rFonts w:ascii="Times New Roman" w:eastAsia="Times New Roman" w:hAnsi="Times New Roman" w:cs="Times New Roman"/>
                <w:color w:val="000000"/>
                <w:lang w:eastAsia="ru-RU"/>
              </w:rPr>
              <w:t>.</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1970,9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2625,4</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1330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2658,7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2806,1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2847,5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2947,5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3020,6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3096,1</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3204,3</w:t>
            </w:r>
          </w:p>
        </w:tc>
      </w:tr>
      <w:tr w:rsidR="004D71AD" w:rsidRPr="004D71AD" w:rsidTr="006A0D45">
        <w:trPr>
          <w:gridBefore w:val="1"/>
          <w:gridAfter w:val="1"/>
          <w:wBefore w:w="127" w:type="dxa"/>
          <w:wAfter w:w="1092" w:type="dxa"/>
          <w:trHeight w:val="55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5</w:t>
            </w:r>
          </w:p>
        </w:tc>
        <w:tc>
          <w:tcPr>
            <w:tcW w:w="4632" w:type="dxa"/>
            <w:tcBorders>
              <w:top w:val="nil"/>
              <w:left w:val="nil"/>
              <w:bottom w:val="single" w:sz="4" w:space="0" w:color="auto"/>
              <w:right w:val="single" w:sz="4" w:space="0" w:color="auto"/>
            </w:tcBorders>
            <w:shd w:val="clear" w:color="000000" w:fill="FFFFFF"/>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Индекс физического объема,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108,7</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95,6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101</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101</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102</w:t>
            </w:r>
          </w:p>
        </w:tc>
      </w:tr>
      <w:tr w:rsidR="004D71AD" w:rsidRPr="004D71AD" w:rsidTr="006A0D45">
        <w:trPr>
          <w:gridBefore w:val="1"/>
          <w:gridAfter w:val="1"/>
          <w:wBefore w:w="127" w:type="dxa"/>
          <w:wAfter w:w="1092" w:type="dxa"/>
          <w:trHeight w:val="431"/>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6</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Оборот розничной торговли, млн.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675,9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846,7</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468,1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1049,9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1118,1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1123,4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1196,4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1207,7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1280,1</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1304,3</w:t>
            </w:r>
          </w:p>
        </w:tc>
      </w:tr>
      <w:tr w:rsidR="004D71AD" w:rsidRPr="004D71AD" w:rsidTr="006A0D45">
        <w:trPr>
          <w:gridBefore w:val="1"/>
          <w:gridAfter w:val="1"/>
          <w:wBefore w:w="127" w:type="dxa"/>
          <w:wAfter w:w="1092" w:type="dxa"/>
          <w:trHeight w:val="63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7</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Темп роста оборота розничной торговли,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112,4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125,3</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123,9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108</w:t>
            </w:r>
          </w:p>
        </w:tc>
      </w:tr>
      <w:tr w:rsidR="004D71AD" w:rsidRPr="004D71AD" w:rsidTr="006A0D45">
        <w:trPr>
          <w:gridBefore w:val="1"/>
          <w:gridAfter w:val="1"/>
          <w:wBefore w:w="127" w:type="dxa"/>
          <w:wAfter w:w="1092" w:type="dxa"/>
          <w:trHeight w:val="6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8</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Оборот розничной торговли на душу населения, тыс.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35,4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45,1</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25,1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60,8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60,9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65,7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71,1</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71,9</w:t>
            </w:r>
          </w:p>
        </w:tc>
      </w:tr>
      <w:tr w:rsidR="004D71AD" w:rsidRPr="004D71AD" w:rsidTr="006A0D45">
        <w:trPr>
          <w:gridBefore w:val="1"/>
          <w:gridAfter w:val="1"/>
          <w:wBefore w:w="127" w:type="dxa"/>
          <w:wAfter w:w="1092" w:type="dxa"/>
          <w:trHeight w:val="285"/>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9</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Объем платных услуг населению, тыс.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166,4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178,4</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55,1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205,2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217,5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219,6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230,6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235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244,4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251,4</w:t>
            </w:r>
          </w:p>
        </w:tc>
      </w:tr>
      <w:tr w:rsidR="004D71AD" w:rsidRPr="004D71AD" w:rsidTr="006A0D45">
        <w:trPr>
          <w:gridBefore w:val="1"/>
          <w:gridAfter w:val="1"/>
          <w:wBefore w:w="127" w:type="dxa"/>
          <w:wAfter w:w="1092" w:type="dxa"/>
          <w:trHeight w:val="93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10</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Темп роста (снижения) объема платных услуг в действующих ценах,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107,2</w:t>
            </w:r>
          </w:p>
        </w:tc>
        <w:tc>
          <w:tcPr>
            <w:tcW w:w="1052" w:type="dxa"/>
            <w:tcBorders>
              <w:top w:val="nil"/>
              <w:left w:val="nil"/>
              <w:bottom w:val="nil"/>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117,2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r>
      <w:tr w:rsidR="004D71AD" w:rsidRPr="004D71AD" w:rsidTr="006A0D45">
        <w:trPr>
          <w:gridBefore w:val="1"/>
          <w:gridAfter w:val="1"/>
          <w:wBefore w:w="127" w:type="dxa"/>
          <w:wAfter w:w="1092" w:type="dxa"/>
          <w:trHeight w:val="56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11</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Объем платных услуг населению на душу населения, тыс.</w:t>
            </w:r>
            <w:r w:rsidR="006A0D45">
              <w:rPr>
                <w:rFonts w:ascii="Times New Roman" w:eastAsia="Times New Roman" w:hAnsi="Times New Roman" w:cs="Times New Roman"/>
                <w:color w:val="000000"/>
                <w:lang w:eastAsia="ru-RU"/>
              </w:rPr>
              <w:t xml:space="preserve"> </w:t>
            </w:r>
            <w:r w:rsidRPr="004D71AD">
              <w:rPr>
                <w:rFonts w:ascii="Times New Roman" w:eastAsia="Times New Roman" w:hAnsi="Times New Roman" w:cs="Times New Roman"/>
                <w:color w:val="000000"/>
                <w:lang w:eastAsia="ru-RU"/>
              </w:rPr>
              <w:t>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9,5</w:t>
            </w:r>
          </w:p>
        </w:tc>
        <w:tc>
          <w:tcPr>
            <w:tcW w:w="1052" w:type="dxa"/>
            <w:tcBorders>
              <w:top w:val="single" w:sz="4" w:space="0" w:color="auto"/>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13,6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13,9</w:t>
            </w:r>
          </w:p>
        </w:tc>
      </w:tr>
      <w:tr w:rsidR="004D71AD" w:rsidRPr="004D71AD" w:rsidTr="006A0D45">
        <w:trPr>
          <w:gridBefore w:val="1"/>
          <w:gridAfter w:val="1"/>
          <w:wBefore w:w="127" w:type="dxa"/>
          <w:wAfter w:w="1092" w:type="dxa"/>
          <w:trHeight w:val="141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lastRenderedPageBreak/>
              <w:t>12</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51,5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218</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61,9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81,7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93,5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92,5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104,3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103,3</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115,5</w:t>
            </w:r>
          </w:p>
        </w:tc>
      </w:tr>
      <w:tr w:rsidR="004D71AD" w:rsidRPr="004D71AD" w:rsidTr="006A0D45">
        <w:trPr>
          <w:gridBefore w:val="1"/>
          <w:gridAfter w:val="1"/>
          <w:wBefore w:w="127" w:type="dxa"/>
          <w:wAfter w:w="1092" w:type="dxa"/>
          <w:trHeight w:val="1273"/>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13</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Индекс физического объема инвестиций (без субъектов малого предпринимательства и объемов инвестиций, не наблюдаемых прямыми статистическими методами),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39,4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391,3</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44,8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30,7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103,1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117,7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105,9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106,6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105,7</w:t>
            </w:r>
          </w:p>
        </w:tc>
      </w:tr>
      <w:tr w:rsidR="004D71AD" w:rsidRPr="004D71AD" w:rsidTr="006A0D45">
        <w:trPr>
          <w:gridBefore w:val="1"/>
          <w:gridAfter w:val="1"/>
          <w:wBefore w:w="127" w:type="dxa"/>
          <w:wAfter w:w="1092" w:type="dxa"/>
          <w:trHeight w:val="838"/>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14</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Среднесписочная численность работников по кругу крупных и средних организаций, человек</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2567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2460</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2326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2300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2200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2250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6B6CDB">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w:t>
            </w:r>
            <w:r w:rsidR="006B6CDB">
              <w:rPr>
                <w:rFonts w:ascii="Times New Roman" w:eastAsia="Times New Roman" w:hAnsi="Times New Roman" w:cs="Times New Roman"/>
                <w:color w:val="000000"/>
                <w:lang w:eastAsia="ru-RU"/>
              </w:rPr>
              <w:t>2</w:t>
            </w:r>
            <w:r w:rsidRPr="004D71AD">
              <w:rPr>
                <w:rFonts w:ascii="Times New Roman" w:eastAsia="Times New Roman" w:hAnsi="Times New Roman" w:cs="Times New Roman"/>
                <w:color w:val="000000"/>
                <w:lang w:eastAsia="ru-RU"/>
              </w:rPr>
              <w:t>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2150</w:t>
            </w:r>
          </w:p>
        </w:tc>
      </w:tr>
      <w:tr w:rsidR="004D71AD" w:rsidRPr="004D71AD" w:rsidTr="006A0D45">
        <w:trPr>
          <w:gridBefore w:val="1"/>
          <w:gridAfter w:val="1"/>
          <w:wBefore w:w="127" w:type="dxa"/>
          <w:wAfter w:w="1092" w:type="dxa"/>
          <w:trHeight w:val="836"/>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15</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Фонд начисленной заработной платы всех работников по кругу крупных и средних организаций, тыс.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820515,8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865314</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437846,1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875692,8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879489,6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916650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902484</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958980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925570,8</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1002794</w:t>
            </w:r>
          </w:p>
        </w:tc>
      </w:tr>
      <w:tr w:rsidR="004D71AD" w:rsidRPr="004D71AD" w:rsidTr="006A0D45">
        <w:trPr>
          <w:gridBefore w:val="1"/>
          <w:gridAfter w:val="1"/>
          <w:wBefore w:w="127" w:type="dxa"/>
          <w:wAfter w:w="1092" w:type="dxa"/>
          <w:trHeight w:val="848"/>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16</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Среднемесячная начисленная заработная плата в расчете на одного работника по кругу крупных и средних организаций, рублей</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26635,6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29310,4</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31380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31728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33314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33950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34980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36325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36729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38868</w:t>
            </w:r>
          </w:p>
        </w:tc>
      </w:tr>
      <w:tr w:rsidR="004D71AD" w:rsidRPr="004D71AD" w:rsidTr="006A0D45">
        <w:trPr>
          <w:gridBefore w:val="1"/>
          <w:gridAfter w:val="1"/>
          <w:wBefore w:w="127" w:type="dxa"/>
          <w:wAfter w:w="1092" w:type="dxa"/>
          <w:trHeight w:val="846"/>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17</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Темп роста заработной платы по кругу крупных и средних организаций, </w:t>
            </w:r>
            <w:proofErr w:type="gramStart"/>
            <w:r w:rsidRPr="004D71AD">
              <w:rPr>
                <w:rFonts w:ascii="Times New Roman" w:eastAsia="Times New Roman" w:hAnsi="Times New Roman" w:cs="Times New Roman"/>
                <w:color w:val="000000"/>
                <w:lang w:eastAsia="ru-RU"/>
              </w:rPr>
              <w:t>в</w:t>
            </w:r>
            <w:proofErr w:type="gramEnd"/>
            <w:r w:rsidRPr="004D71AD">
              <w:rPr>
                <w:rFonts w:ascii="Times New Roman" w:eastAsia="Times New Roman" w:hAnsi="Times New Roman" w:cs="Times New Roman"/>
                <w:color w:val="000000"/>
                <w:lang w:eastAsia="ru-RU"/>
              </w:rPr>
              <w:t xml:space="preserve"> % </w:t>
            </w:r>
            <w:proofErr w:type="gramStart"/>
            <w:r w:rsidRPr="004D71AD">
              <w:rPr>
                <w:rFonts w:ascii="Times New Roman" w:eastAsia="Times New Roman" w:hAnsi="Times New Roman" w:cs="Times New Roman"/>
                <w:color w:val="000000"/>
                <w:lang w:eastAsia="ru-RU"/>
              </w:rPr>
              <w:t>к</w:t>
            </w:r>
            <w:proofErr w:type="gramEnd"/>
            <w:r w:rsidRPr="004D71AD">
              <w:rPr>
                <w:rFonts w:ascii="Times New Roman" w:eastAsia="Times New Roman" w:hAnsi="Times New Roman" w:cs="Times New Roman"/>
                <w:color w:val="000000"/>
                <w:lang w:eastAsia="ru-RU"/>
              </w:rPr>
              <w:t xml:space="preserve"> предыдущему году</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110,4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110</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110,6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108,2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107</w:t>
            </w:r>
          </w:p>
        </w:tc>
      </w:tr>
      <w:tr w:rsidR="004D71AD" w:rsidRPr="004D71AD" w:rsidTr="006A0D45">
        <w:trPr>
          <w:gridBefore w:val="1"/>
          <w:gridAfter w:val="1"/>
          <w:wBefore w:w="127" w:type="dxa"/>
          <w:wAfter w:w="1092" w:type="dxa"/>
          <w:trHeight w:val="561"/>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18</w:t>
            </w:r>
          </w:p>
        </w:tc>
        <w:tc>
          <w:tcPr>
            <w:tcW w:w="4632" w:type="dxa"/>
            <w:tcBorders>
              <w:top w:val="nil"/>
              <w:left w:val="nil"/>
              <w:bottom w:val="single" w:sz="4" w:space="0" w:color="auto"/>
              <w:right w:val="single" w:sz="4" w:space="0" w:color="auto"/>
            </w:tcBorders>
            <w:shd w:val="clear" w:color="000000" w:fill="FFFFFF"/>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proofErr w:type="gramStart"/>
            <w:r w:rsidRPr="004D71AD">
              <w:rPr>
                <w:rFonts w:ascii="Times New Roman" w:eastAsia="Times New Roman" w:hAnsi="Times New Roman" w:cs="Times New Roman"/>
                <w:color w:val="000000"/>
                <w:lang w:eastAsia="ru-RU"/>
              </w:rPr>
              <w:t>Численность занятых в экономике (среднегодовая), человек</w:t>
            </w:r>
            <w:proofErr w:type="gramEnd"/>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5810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5890</w:t>
            </w:r>
          </w:p>
        </w:tc>
        <w:tc>
          <w:tcPr>
            <w:tcW w:w="1052" w:type="dxa"/>
            <w:tcBorders>
              <w:top w:val="nil"/>
              <w:left w:val="nil"/>
              <w:bottom w:val="single" w:sz="4" w:space="0" w:color="auto"/>
              <w:right w:val="single" w:sz="4" w:space="0" w:color="auto"/>
            </w:tcBorders>
            <w:shd w:val="clear" w:color="000000" w:fill="FFFFFF"/>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5670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5670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5650</w:t>
            </w:r>
          </w:p>
        </w:tc>
      </w:tr>
      <w:tr w:rsidR="004D71AD" w:rsidRPr="004D71AD" w:rsidTr="006A0D45">
        <w:trPr>
          <w:gridBefore w:val="1"/>
          <w:gridAfter w:val="1"/>
          <w:wBefore w:w="127" w:type="dxa"/>
          <w:wAfter w:w="1092" w:type="dxa"/>
          <w:trHeight w:val="1108"/>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19</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Численность безработных, зарегистрированных в государственных учреждениях службы занятости населения (на конец периода), человек</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410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270</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219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223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240</w:t>
            </w:r>
          </w:p>
        </w:tc>
      </w:tr>
      <w:tr w:rsidR="004D71AD" w:rsidRPr="004D71AD" w:rsidTr="006A0D45">
        <w:trPr>
          <w:gridBefore w:val="1"/>
          <w:gridAfter w:val="1"/>
          <w:wBefore w:w="127" w:type="dxa"/>
          <w:wAfter w:w="1092" w:type="dxa"/>
          <w:trHeight w:val="854"/>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20</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Уровень зарегистрированной безработицы к трудоспособному возрасту на конец отчетного периода, %</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2,8</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w:t>
            </w:r>
          </w:p>
        </w:tc>
      </w:tr>
      <w:tr w:rsidR="004D71AD" w:rsidRPr="004D71AD" w:rsidTr="006A0D45">
        <w:trPr>
          <w:gridBefore w:val="1"/>
          <w:gridAfter w:val="1"/>
          <w:wBefore w:w="127" w:type="dxa"/>
          <w:wAfter w:w="1092" w:type="dxa"/>
          <w:trHeight w:val="54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21</w:t>
            </w:r>
          </w:p>
        </w:tc>
        <w:tc>
          <w:tcPr>
            <w:tcW w:w="4632" w:type="dxa"/>
            <w:tcBorders>
              <w:top w:val="nil"/>
              <w:left w:val="nil"/>
              <w:bottom w:val="nil"/>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Производство важнейших видов продукции в натуральном выражении</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52"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986"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986"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986" w:type="dxa"/>
            <w:tcBorders>
              <w:top w:val="nil"/>
              <w:left w:val="nil"/>
              <w:bottom w:val="single" w:sz="4" w:space="0" w:color="auto"/>
              <w:right w:val="single" w:sz="4" w:space="0" w:color="auto"/>
            </w:tcBorders>
            <w:shd w:val="clear" w:color="auto" w:fill="auto"/>
            <w:noWrap/>
            <w:vAlign w:val="center"/>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22</w:t>
            </w:r>
          </w:p>
        </w:tc>
        <w:tc>
          <w:tcPr>
            <w:tcW w:w="4632" w:type="dxa"/>
            <w:tcBorders>
              <w:top w:val="single" w:sz="4" w:space="0" w:color="auto"/>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Мясо и субпродукты,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66,6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90,3</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10,4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75</w:t>
            </w:r>
          </w:p>
        </w:tc>
      </w:tr>
      <w:tr w:rsidR="004D71AD" w:rsidRPr="004D71AD" w:rsidTr="006A0D45">
        <w:trPr>
          <w:gridBefore w:val="1"/>
          <w:gridAfter w:val="1"/>
          <w:wBefore w:w="127" w:type="dxa"/>
          <w:wAfter w:w="1092" w:type="dxa"/>
          <w:trHeight w:val="539"/>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23</w:t>
            </w:r>
          </w:p>
        </w:tc>
        <w:tc>
          <w:tcPr>
            <w:tcW w:w="4632" w:type="dxa"/>
            <w:tcBorders>
              <w:top w:val="nil"/>
              <w:left w:val="nil"/>
              <w:bottom w:val="single" w:sz="4" w:space="0" w:color="auto"/>
              <w:right w:val="single" w:sz="4" w:space="0" w:color="auto"/>
            </w:tcBorders>
            <w:shd w:val="clear" w:color="auto" w:fill="auto"/>
            <w:hideMark/>
          </w:tcPr>
          <w:p w:rsid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Мясные полуфабрикаты (замороженные и охлажденные), тонн</w:t>
            </w:r>
          </w:p>
          <w:p w:rsidR="006A0D45" w:rsidRDefault="006A0D45" w:rsidP="004D71AD">
            <w:pPr>
              <w:spacing w:after="0" w:line="240" w:lineRule="auto"/>
              <w:rPr>
                <w:rFonts w:ascii="Times New Roman" w:eastAsia="Times New Roman" w:hAnsi="Times New Roman" w:cs="Times New Roman"/>
                <w:color w:val="000000"/>
                <w:lang w:eastAsia="ru-RU"/>
              </w:rPr>
            </w:pPr>
          </w:p>
          <w:p w:rsidR="006A0D45" w:rsidRPr="004D71AD" w:rsidRDefault="006A0D45" w:rsidP="004D71AD">
            <w:pPr>
              <w:spacing w:after="0" w:line="240" w:lineRule="auto"/>
              <w:rPr>
                <w:rFonts w:ascii="Times New Roman" w:eastAsia="Times New Roman" w:hAnsi="Times New Roman" w:cs="Times New Roman"/>
                <w:color w:val="000000"/>
                <w:lang w:eastAsia="ru-RU"/>
              </w:rPr>
            </w:pP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6,3</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6,3</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6,5</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w:t>
            </w:r>
          </w:p>
        </w:tc>
      </w:tr>
      <w:tr w:rsidR="004D71AD" w:rsidRPr="004D71AD" w:rsidTr="006A0D45">
        <w:trPr>
          <w:gridBefore w:val="1"/>
          <w:gridAfter w:val="1"/>
          <w:wBefore w:w="127" w:type="dxa"/>
          <w:wAfter w:w="1092" w:type="dxa"/>
          <w:trHeight w:val="276"/>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lastRenderedPageBreak/>
              <w:t>24</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Хлеб и хлебобулочные изделия,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564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426</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193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380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430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450</w:t>
            </w:r>
          </w:p>
        </w:tc>
      </w:tr>
      <w:tr w:rsidR="004D71AD" w:rsidRPr="004D71AD" w:rsidTr="006A0D45">
        <w:trPr>
          <w:gridBefore w:val="1"/>
          <w:gridAfter w:val="1"/>
          <w:wBefore w:w="127" w:type="dxa"/>
          <w:wAfter w:w="1092" w:type="dxa"/>
          <w:trHeight w:val="559"/>
        </w:trPr>
        <w:tc>
          <w:tcPr>
            <w:tcW w:w="486" w:type="dxa"/>
            <w:gridSpan w:val="2"/>
            <w:tcBorders>
              <w:top w:val="nil"/>
              <w:left w:val="single" w:sz="4" w:space="0" w:color="auto"/>
              <w:bottom w:val="single" w:sz="4" w:space="0" w:color="auto"/>
              <w:right w:val="single" w:sz="4" w:space="0" w:color="auto"/>
            </w:tcBorders>
            <w:shd w:val="clear" w:color="auto" w:fill="auto"/>
            <w:noWrap/>
            <w:vAlign w:val="bottom"/>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25</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Изделия макаронные, </w:t>
            </w:r>
            <w:proofErr w:type="spellStart"/>
            <w:r w:rsidRPr="004D71AD">
              <w:rPr>
                <w:rFonts w:ascii="Times New Roman" w:eastAsia="Times New Roman" w:hAnsi="Times New Roman" w:cs="Times New Roman"/>
                <w:color w:val="000000"/>
                <w:lang w:eastAsia="ru-RU"/>
              </w:rPr>
              <w:t>кускус</w:t>
            </w:r>
            <w:proofErr w:type="spellEnd"/>
            <w:r w:rsidRPr="004D71AD">
              <w:rPr>
                <w:rFonts w:ascii="Times New Roman" w:eastAsia="Times New Roman" w:hAnsi="Times New Roman" w:cs="Times New Roman"/>
                <w:color w:val="000000"/>
                <w:lang w:eastAsia="ru-RU"/>
              </w:rPr>
              <w:t xml:space="preserve"> и аналогичные мучные изделия,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31,5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29,6</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9,5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32</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26</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Мука,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702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403</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71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r>
      <w:tr w:rsidR="004D71AD" w:rsidRPr="004D71AD" w:rsidTr="006A0D45">
        <w:trPr>
          <w:gridBefore w:val="1"/>
          <w:gridAfter w:val="1"/>
          <w:wBefore w:w="127" w:type="dxa"/>
          <w:wAfter w:w="1092" w:type="dxa"/>
          <w:trHeight w:val="300"/>
        </w:trPr>
        <w:tc>
          <w:tcPr>
            <w:tcW w:w="486" w:type="dxa"/>
            <w:gridSpan w:val="2"/>
            <w:tcBorders>
              <w:top w:val="nil"/>
              <w:left w:val="nil"/>
              <w:bottom w:val="nil"/>
              <w:right w:val="nil"/>
            </w:tcBorders>
            <w:shd w:val="clear" w:color="auto" w:fill="auto"/>
            <w:noWrap/>
            <w:vAlign w:val="bottom"/>
            <w:hideMark/>
          </w:tcPr>
          <w:p w:rsidR="004D71AD" w:rsidRPr="004D71AD" w:rsidRDefault="004D71AD" w:rsidP="004D71AD">
            <w:pPr>
              <w:spacing w:after="0" w:line="240" w:lineRule="auto"/>
              <w:rPr>
                <w:rFonts w:ascii="Calibri" w:eastAsia="Times New Roman" w:hAnsi="Calibri" w:cs="Times New Roman"/>
                <w:color w:val="000000"/>
                <w:lang w:eastAsia="ru-RU"/>
              </w:rPr>
            </w:pPr>
          </w:p>
        </w:tc>
        <w:tc>
          <w:tcPr>
            <w:tcW w:w="4632" w:type="dxa"/>
            <w:tcBorders>
              <w:top w:val="nil"/>
              <w:left w:val="single" w:sz="4" w:space="0" w:color="auto"/>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Комбикорма,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2657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2657</w:t>
            </w:r>
          </w:p>
        </w:tc>
        <w:tc>
          <w:tcPr>
            <w:tcW w:w="1052" w:type="dxa"/>
            <w:tcBorders>
              <w:top w:val="nil"/>
              <w:left w:val="nil"/>
              <w:bottom w:val="nil"/>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1327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2660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2660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2670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2670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2680</w:t>
            </w:r>
          </w:p>
        </w:tc>
      </w:tr>
      <w:tr w:rsidR="004D71AD" w:rsidRPr="004D71AD" w:rsidTr="006A0D45">
        <w:trPr>
          <w:gridBefore w:val="1"/>
          <w:gridAfter w:val="1"/>
          <w:wBefore w:w="127" w:type="dxa"/>
          <w:wAfter w:w="1092" w:type="dxa"/>
          <w:trHeight w:val="509"/>
        </w:trPr>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27</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Зерновые и зернобобовые, включая кукурузу,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44795,87</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57270,9</w:t>
            </w:r>
          </w:p>
        </w:tc>
        <w:tc>
          <w:tcPr>
            <w:tcW w:w="1052" w:type="dxa"/>
            <w:tcBorders>
              <w:top w:val="single" w:sz="4" w:space="0" w:color="auto"/>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44444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47620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48000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49330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50000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50000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51000</w:t>
            </w:r>
          </w:p>
        </w:tc>
      </w:tr>
      <w:tr w:rsidR="004D71AD" w:rsidRPr="004D71AD" w:rsidTr="006A0D45">
        <w:trPr>
          <w:gridBefore w:val="1"/>
          <w:gridAfter w:val="1"/>
          <w:wBefore w:w="127" w:type="dxa"/>
          <w:wAfter w:w="1092" w:type="dxa"/>
          <w:trHeight w:val="6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28</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Подсолнечник   на зерно в весе после доработки,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23427,85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24966,98</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6B6CDB" w:rsidP="004D71A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4D71AD" w:rsidRPr="004D71AD">
              <w:rPr>
                <w:rFonts w:ascii="Times New Roman" w:eastAsia="Times New Roman" w:hAnsi="Times New Roman" w:cs="Times New Roman"/>
                <w:color w:val="000000"/>
                <w:lang w:eastAsia="ru-RU"/>
              </w:rPr>
              <w:t>4</w:t>
            </w:r>
            <w:bookmarkStart w:id="0" w:name="_GoBack"/>
            <w:bookmarkEnd w:id="0"/>
            <w:r w:rsidR="004D71AD" w:rsidRPr="004D71AD">
              <w:rPr>
                <w:rFonts w:ascii="Times New Roman" w:eastAsia="Times New Roman" w:hAnsi="Times New Roman" w:cs="Times New Roman"/>
                <w:color w:val="000000"/>
                <w:lang w:eastAsia="ru-RU"/>
              </w:rPr>
              <w:t>962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24950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25000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26790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27108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27150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27300</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29</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Картофель,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4746,41</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3394,06</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3400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4000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4500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4400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4600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4600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4800</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30</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Овощи,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1299,52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827,51</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center"/>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х</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1000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1100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1200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1300</w:t>
            </w:r>
          </w:p>
        </w:tc>
      </w:tr>
      <w:tr w:rsidR="004D71AD" w:rsidRPr="004D71AD" w:rsidTr="006A0D45">
        <w:trPr>
          <w:gridBefore w:val="1"/>
          <w:gridAfter w:val="1"/>
          <w:wBefore w:w="127" w:type="dxa"/>
          <w:wAfter w:w="1092" w:type="dxa"/>
          <w:trHeight w:val="321"/>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31</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Крупный рогатый скот, голов</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8840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8038</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8252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7936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7970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7948</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7960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7970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8000</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32</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Коровы, голов</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3900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3404</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3425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3306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3318</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3322</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3330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3350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3370</w:t>
            </w:r>
          </w:p>
        </w:tc>
      </w:tr>
      <w:tr w:rsidR="004D71AD" w:rsidRPr="004D71AD" w:rsidTr="006A0D45">
        <w:trPr>
          <w:gridBefore w:val="1"/>
          <w:gridAfter w:val="1"/>
          <w:wBefore w:w="127" w:type="dxa"/>
          <w:wAfter w:w="1092" w:type="dxa"/>
          <w:trHeight w:val="3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33</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Свиньи, голов</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1710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1557</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1685</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1606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1612</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1612</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1630</w:t>
            </w:r>
          </w:p>
        </w:tc>
      </w:tr>
      <w:tr w:rsidR="004D71AD" w:rsidRPr="004D71AD" w:rsidTr="006A0D45">
        <w:trPr>
          <w:gridBefore w:val="1"/>
          <w:gridAfter w:val="1"/>
          <w:wBefore w:w="127" w:type="dxa"/>
          <w:wAfter w:w="1092" w:type="dxa"/>
          <w:trHeight w:val="60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34</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Произведено на убой скота и птицы в живом весе,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1950,8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1841,7</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519</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1808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1809</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1830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1840</w:t>
            </w:r>
          </w:p>
        </w:tc>
      </w:tr>
      <w:tr w:rsidR="004D71AD" w:rsidRPr="004D71AD" w:rsidTr="006A0D45">
        <w:trPr>
          <w:gridBefore w:val="1"/>
          <w:gridAfter w:val="1"/>
          <w:wBefore w:w="127" w:type="dxa"/>
          <w:wAfter w:w="1092" w:type="dxa"/>
          <w:trHeight w:val="660"/>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35</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Валовой надой молока  в хозяйствах всех категорий, тонн</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15524,2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14774,8</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6494</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14500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14800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15000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15000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15300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15300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15500</w:t>
            </w:r>
          </w:p>
        </w:tc>
      </w:tr>
      <w:tr w:rsidR="004D71AD" w:rsidRPr="004D71AD" w:rsidTr="006A0D45">
        <w:trPr>
          <w:gridBefore w:val="1"/>
          <w:gridAfter w:val="1"/>
          <w:wBefore w:w="127" w:type="dxa"/>
          <w:wAfter w:w="1092" w:type="dxa"/>
          <w:trHeight w:val="675"/>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36</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proofErr w:type="spellStart"/>
            <w:proofErr w:type="gramStart"/>
            <w:r w:rsidRPr="004D71AD">
              <w:rPr>
                <w:rFonts w:ascii="Times New Roman" w:eastAsia="Times New Roman" w:hAnsi="Times New Roman" w:cs="Times New Roman"/>
                <w:color w:val="000000"/>
                <w:lang w:eastAsia="ru-RU"/>
              </w:rPr>
              <w:t>H</w:t>
            </w:r>
            <w:proofErr w:type="gramEnd"/>
            <w:r w:rsidRPr="004D71AD">
              <w:rPr>
                <w:rFonts w:ascii="Times New Roman" w:eastAsia="Times New Roman" w:hAnsi="Times New Roman" w:cs="Times New Roman"/>
                <w:color w:val="000000"/>
                <w:lang w:eastAsia="ru-RU"/>
              </w:rPr>
              <w:t>адоено</w:t>
            </w:r>
            <w:proofErr w:type="spellEnd"/>
            <w:r w:rsidRPr="004D71AD">
              <w:rPr>
                <w:rFonts w:ascii="Times New Roman" w:eastAsia="Times New Roman" w:hAnsi="Times New Roman" w:cs="Times New Roman"/>
                <w:color w:val="000000"/>
                <w:lang w:eastAsia="ru-RU"/>
              </w:rPr>
              <w:t xml:space="preserve"> молока на 1 корову (в </w:t>
            </w:r>
            <w:proofErr w:type="spellStart"/>
            <w:r w:rsidRPr="004D71AD">
              <w:rPr>
                <w:rFonts w:ascii="Times New Roman" w:eastAsia="Times New Roman" w:hAnsi="Times New Roman" w:cs="Times New Roman"/>
                <w:color w:val="000000"/>
                <w:lang w:eastAsia="ru-RU"/>
              </w:rPr>
              <w:t>сельхозорганизациях</w:t>
            </w:r>
            <w:proofErr w:type="spellEnd"/>
            <w:r w:rsidRPr="004D71AD">
              <w:rPr>
                <w:rFonts w:ascii="Times New Roman" w:eastAsia="Times New Roman" w:hAnsi="Times New Roman" w:cs="Times New Roman"/>
                <w:color w:val="000000"/>
                <w:lang w:eastAsia="ru-RU"/>
              </w:rPr>
              <w:t>), кг</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4786</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5162</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2902</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5200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5250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5300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5300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5320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5320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5350</w:t>
            </w:r>
          </w:p>
        </w:tc>
      </w:tr>
      <w:tr w:rsidR="004D71AD" w:rsidRPr="004D71AD" w:rsidTr="006A0D45">
        <w:trPr>
          <w:gridBefore w:val="1"/>
          <w:gridAfter w:val="1"/>
          <w:wBefore w:w="127" w:type="dxa"/>
          <w:wAfter w:w="1092" w:type="dxa"/>
          <w:trHeight w:val="391"/>
        </w:trPr>
        <w:tc>
          <w:tcPr>
            <w:tcW w:w="486" w:type="dxa"/>
            <w:gridSpan w:val="2"/>
            <w:tcBorders>
              <w:top w:val="nil"/>
              <w:left w:val="single" w:sz="4" w:space="0" w:color="auto"/>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37</w:t>
            </w:r>
          </w:p>
        </w:tc>
        <w:tc>
          <w:tcPr>
            <w:tcW w:w="4632"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 xml:space="preserve">Получено яиц от всех видов птицы, тыс. </w:t>
            </w:r>
            <w:proofErr w:type="spellStart"/>
            <w:proofErr w:type="gramStart"/>
            <w:r w:rsidRPr="004D71AD">
              <w:rPr>
                <w:rFonts w:ascii="Times New Roman" w:eastAsia="Times New Roman" w:hAnsi="Times New Roman" w:cs="Times New Roman"/>
                <w:color w:val="000000"/>
                <w:lang w:eastAsia="ru-RU"/>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1953</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1915</w:t>
            </w:r>
          </w:p>
        </w:tc>
        <w:tc>
          <w:tcPr>
            <w:tcW w:w="1052" w:type="dxa"/>
            <w:tcBorders>
              <w:top w:val="nil"/>
              <w:left w:val="nil"/>
              <w:bottom w:val="single" w:sz="4" w:space="0" w:color="auto"/>
              <w:right w:val="single" w:sz="4" w:space="0" w:color="auto"/>
            </w:tcBorders>
            <w:shd w:val="clear" w:color="auto" w:fill="auto"/>
            <w:noWrap/>
            <w:hideMark/>
          </w:tcPr>
          <w:p w:rsidR="004D71AD" w:rsidRPr="004D71AD" w:rsidRDefault="004D71AD" w:rsidP="004D71AD">
            <w:pPr>
              <w:spacing w:after="0" w:line="240" w:lineRule="auto"/>
              <w:jc w:val="right"/>
              <w:rPr>
                <w:rFonts w:ascii="Calibri" w:eastAsia="Times New Roman" w:hAnsi="Calibri" w:cs="Times New Roman"/>
                <w:color w:val="000000"/>
                <w:lang w:eastAsia="ru-RU"/>
              </w:rPr>
            </w:pPr>
            <w:r w:rsidRPr="004D71AD">
              <w:rPr>
                <w:rFonts w:ascii="Calibri" w:eastAsia="Times New Roman" w:hAnsi="Calibri" w:cs="Times New Roman"/>
                <w:color w:val="000000"/>
                <w:lang w:eastAsia="ru-RU"/>
              </w:rPr>
              <w:t>948</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1900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1920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1930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1940</w:t>
            </w:r>
          </w:p>
        </w:tc>
        <w:tc>
          <w:tcPr>
            <w:tcW w:w="1041"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1940</w:t>
            </w:r>
          </w:p>
        </w:tc>
        <w:tc>
          <w:tcPr>
            <w:tcW w:w="986" w:type="dxa"/>
            <w:tcBorders>
              <w:top w:val="nil"/>
              <w:left w:val="nil"/>
              <w:bottom w:val="single" w:sz="4" w:space="0" w:color="auto"/>
              <w:right w:val="single" w:sz="4" w:space="0" w:color="auto"/>
            </w:tcBorders>
            <w:shd w:val="clear" w:color="auto" w:fill="auto"/>
            <w:hideMark/>
          </w:tcPr>
          <w:p w:rsidR="004D71AD" w:rsidRPr="004D71AD" w:rsidRDefault="004D71AD" w:rsidP="004D71AD">
            <w:pPr>
              <w:spacing w:after="0" w:line="240" w:lineRule="auto"/>
              <w:jc w:val="right"/>
              <w:rPr>
                <w:rFonts w:ascii="Times New Roman" w:eastAsia="Times New Roman" w:hAnsi="Times New Roman" w:cs="Times New Roman"/>
                <w:color w:val="000000"/>
                <w:lang w:eastAsia="ru-RU"/>
              </w:rPr>
            </w:pPr>
            <w:r w:rsidRPr="004D71AD">
              <w:rPr>
                <w:rFonts w:ascii="Times New Roman" w:eastAsia="Times New Roman" w:hAnsi="Times New Roman" w:cs="Times New Roman"/>
                <w:color w:val="000000"/>
                <w:lang w:eastAsia="ru-RU"/>
              </w:rPr>
              <w:t>1950</w:t>
            </w:r>
          </w:p>
        </w:tc>
      </w:tr>
    </w:tbl>
    <w:p w:rsidR="004D71AD" w:rsidRDefault="004D71AD"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011C12">
      <w:pPr>
        <w:widowControl w:val="0"/>
        <w:autoSpaceDE w:val="0"/>
        <w:autoSpaceDN w:val="0"/>
        <w:adjustRightInd w:val="0"/>
        <w:spacing w:after="0" w:line="240" w:lineRule="auto"/>
        <w:rPr>
          <w:rFonts w:ascii="Times New Roman" w:hAnsi="Times New Roman" w:cs="Times New Roman"/>
          <w:sz w:val="28"/>
        </w:rPr>
      </w:pPr>
    </w:p>
    <w:p w:rsidR="00E34CF7" w:rsidRDefault="00E34CF7" w:rsidP="00E34CF7">
      <w:pPr>
        <w:spacing w:after="0" w:line="240" w:lineRule="auto"/>
        <w:jc w:val="center"/>
        <w:rPr>
          <w:rFonts w:ascii="Times New Roman" w:eastAsia="Times New Roman" w:hAnsi="Times New Roman" w:cs="Times New Roman"/>
          <w:b/>
          <w:sz w:val="30"/>
          <w:szCs w:val="30"/>
          <w:lang w:eastAsia="ru-RU"/>
        </w:rPr>
        <w:sectPr w:rsidR="00E34CF7" w:rsidSect="006A0D45">
          <w:pgSz w:w="16838" w:h="11906" w:orient="landscape"/>
          <w:pgMar w:top="851" w:right="851" w:bottom="426" w:left="851" w:header="709" w:footer="709" w:gutter="0"/>
          <w:cols w:space="708"/>
          <w:docGrid w:linePitch="360"/>
        </w:sectPr>
      </w:pPr>
    </w:p>
    <w:p w:rsidR="00E34CF7" w:rsidRPr="00E34CF7" w:rsidRDefault="00E34CF7" w:rsidP="00E34CF7">
      <w:pPr>
        <w:spacing w:after="0" w:line="240" w:lineRule="auto"/>
        <w:jc w:val="center"/>
        <w:rPr>
          <w:rFonts w:ascii="Times New Roman" w:eastAsia="Times New Roman" w:hAnsi="Times New Roman" w:cs="Times New Roman"/>
          <w:b/>
          <w:sz w:val="30"/>
          <w:szCs w:val="30"/>
          <w:lang w:eastAsia="ru-RU"/>
        </w:rPr>
      </w:pPr>
      <w:r w:rsidRPr="00E34CF7">
        <w:rPr>
          <w:rFonts w:ascii="Times New Roman" w:eastAsia="Times New Roman" w:hAnsi="Times New Roman" w:cs="Times New Roman"/>
          <w:b/>
          <w:sz w:val="30"/>
          <w:szCs w:val="30"/>
          <w:lang w:eastAsia="ru-RU"/>
        </w:rPr>
        <w:lastRenderedPageBreak/>
        <w:t>Пояснительная записка к прогнозу социально-экономического развития Михайловского района  на 2023-2025 годы</w:t>
      </w:r>
    </w:p>
    <w:p w:rsidR="00E34CF7" w:rsidRPr="00E34CF7" w:rsidRDefault="00E34CF7" w:rsidP="00E34CF7">
      <w:pPr>
        <w:spacing w:after="0" w:line="240" w:lineRule="auto"/>
        <w:jc w:val="center"/>
        <w:rPr>
          <w:rFonts w:ascii="Times New Roman" w:eastAsia="Times New Roman" w:hAnsi="Times New Roman" w:cs="Times New Roman"/>
          <w:b/>
          <w:sz w:val="30"/>
          <w:szCs w:val="30"/>
          <w:lang w:eastAsia="ru-RU"/>
        </w:rPr>
      </w:pPr>
    </w:p>
    <w:p w:rsidR="00E34CF7" w:rsidRDefault="00E34CF7" w:rsidP="00E34CF7">
      <w:pPr>
        <w:numPr>
          <w:ilvl w:val="0"/>
          <w:numId w:val="2"/>
        </w:num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Общая оценка социально – экономической ситуации в районе за отчетный период.</w:t>
      </w:r>
    </w:p>
    <w:p w:rsidR="00E34CF7" w:rsidRPr="00E34CF7" w:rsidRDefault="00E34CF7" w:rsidP="00E34CF7">
      <w:pPr>
        <w:spacing w:after="0" w:line="240" w:lineRule="auto"/>
        <w:ind w:left="720"/>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ab/>
        <w:t xml:space="preserve"> В промышленном производстве, по данным органов государственной статистики за 2021 год и полугодие   2022 года продолжается положительная динамика. Однако наблюдается снижение темпов роста производства промышленной продукции.</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highlight w:val="yellow"/>
          <w:lang w:eastAsia="ru-RU"/>
        </w:rPr>
      </w:pPr>
      <w:r w:rsidRPr="00E34CF7">
        <w:rPr>
          <w:rFonts w:ascii="Times New Roman" w:eastAsia="Times New Roman" w:hAnsi="Times New Roman" w:cs="Times New Roman"/>
          <w:sz w:val="28"/>
          <w:szCs w:val="28"/>
          <w:lang w:eastAsia="ru-RU"/>
        </w:rPr>
        <w:t>В малом бизнесе наблюдается  снижение численности, в 2021 году число занятых в малом и среднем бизнесе уменьшилось на 46 человек. На поддержку малого бизнеса направлены различные меры  государственной поддержки, район активно участвует в действующих программах.</w:t>
      </w:r>
      <w:r w:rsidRPr="00E34CF7">
        <w:rPr>
          <w:rFonts w:ascii="Times New Roman" w:eastAsia="Times New Roman" w:hAnsi="Times New Roman" w:cs="Times New Roman"/>
          <w:sz w:val="28"/>
          <w:szCs w:val="28"/>
          <w:highlight w:val="yellow"/>
          <w:lang w:eastAsia="ru-RU"/>
        </w:rPr>
        <w:t xml:space="preserve">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w:t>
      </w:r>
      <w:proofErr w:type="gramStart"/>
      <w:r w:rsidRPr="00E34CF7">
        <w:rPr>
          <w:rFonts w:ascii="Times New Roman" w:eastAsia="Times New Roman" w:hAnsi="Times New Roman" w:cs="Times New Roman"/>
          <w:sz w:val="28"/>
          <w:szCs w:val="28"/>
          <w:lang w:eastAsia="ru-RU"/>
        </w:rPr>
        <w:t>последние</w:t>
      </w:r>
      <w:proofErr w:type="gramEnd"/>
      <w:r w:rsidRPr="00E34CF7">
        <w:rPr>
          <w:rFonts w:ascii="Times New Roman" w:eastAsia="Times New Roman" w:hAnsi="Times New Roman" w:cs="Times New Roman"/>
          <w:sz w:val="28"/>
          <w:szCs w:val="28"/>
          <w:lang w:eastAsia="ru-RU"/>
        </w:rPr>
        <w:t xml:space="preserve"> 5 лет инвестиционная  активность была достаточно высокой. Сумма инвестиций в основной капитал ежегодно составляла  от 300 – до 500 млн. рублей. В 2021 году объем инвестиций составил 697,8  млн. руб., превысив уровень прошлого года в 2,7 раза.  В основном средства были направлены на приобретение техники и оборудования. Более  30 % от общего объема инвестиций за счет всех источников финансирования составили инвестиции крупных и средних предприятий,  218 млн. рублей. </w:t>
      </w:r>
    </w:p>
    <w:p w:rsidR="00E34CF7" w:rsidRPr="00E34CF7" w:rsidRDefault="00E34CF7" w:rsidP="00E34CF7">
      <w:pPr>
        <w:spacing w:after="0" w:line="240" w:lineRule="auto"/>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ab/>
        <w:t xml:space="preserve">В настоящее время экономика района сохраняет социальную направленность. Стоимость реализованных проектов по ремонту общеобразовательных учреждений  в   2021 году составила 12,5 млн. рублей, в 2022 году в социальной сфере планируется освоить до 20 млн. рублей.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Большое внимание уделяется развитию отрасли ЖКХ и благоустройству района. В   2021 году  в сфере ЖКХ освоено 63 млн. рублей, С целью </w:t>
      </w:r>
      <w:proofErr w:type="gramStart"/>
      <w:r w:rsidRPr="00E34CF7">
        <w:rPr>
          <w:rFonts w:ascii="Times New Roman" w:eastAsia="Times New Roman" w:hAnsi="Times New Roman" w:cs="Times New Roman"/>
          <w:sz w:val="28"/>
          <w:szCs w:val="28"/>
          <w:lang w:eastAsia="ru-RU"/>
        </w:rPr>
        <w:t>создания комфортных условий проживания населения района</w:t>
      </w:r>
      <w:proofErr w:type="gramEnd"/>
      <w:r w:rsidRPr="00E34CF7">
        <w:rPr>
          <w:rFonts w:ascii="Times New Roman" w:eastAsia="Times New Roman" w:hAnsi="Times New Roman" w:cs="Times New Roman"/>
          <w:sz w:val="28"/>
          <w:szCs w:val="28"/>
          <w:lang w:eastAsia="ru-RU"/>
        </w:rPr>
        <w:t xml:space="preserve"> в   2020 году завершен  проект по обустройству площади в с. Михайловское, стоимость проекта 4,5млн. руб. В 2021 году реализован первый этап проекта «Благоустройство пешеходной зоны по пр. </w:t>
      </w:r>
      <w:proofErr w:type="gramStart"/>
      <w:r w:rsidRPr="00E34CF7">
        <w:rPr>
          <w:rFonts w:ascii="Times New Roman" w:eastAsia="Times New Roman" w:hAnsi="Times New Roman" w:cs="Times New Roman"/>
          <w:sz w:val="28"/>
          <w:szCs w:val="28"/>
          <w:lang w:eastAsia="ru-RU"/>
        </w:rPr>
        <w:t>Октябрьский</w:t>
      </w:r>
      <w:proofErr w:type="gramEnd"/>
      <w:r w:rsidRPr="00E34CF7">
        <w:rPr>
          <w:rFonts w:ascii="Times New Roman" w:eastAsia="Times New Roman" w:hAnsi="Times New Roman" w:cs="Times New Roman"/>
          <w:sz w:val="28"/>
          <w:szCs w:val="28"/>
          <w:lang w:eastAsia="ru-RU"/>
        </w:rPr>
        <w:t xml:space="preserve">, ул. Садовая  в с. Михайловское Михайловского района Алтайского края, реализация второго этапа проекта планируется  завершить в 2022 году, стоимость проекта составила почти 10 млн. рублей. </w:t>
      </w:r>
      <w:proofErr w:type="gramStart"/>
      <w:r w:rsidRPr="00E34CF7">
        <w:rPr>
          <w:rFonts w:ascii="Times New Roman" w:eastAsia="Times New Roman" w:hAnsi="Times New Roman" w:cs="Times New Roman"/>
          <w:sz w:val="28"/>
          <w:szCs w:val="28"/>
          <w:lang w:eastAsia="ru-RU"/>
        </w:rPr>
        <w:t>В 2021 году по  программе «Комплексное развитие сельских территорий» реализовано 2 проекта это «Обустройство площадок накопления твердых коммунальных отходов в селе Михайловское» и  «Обустройство зоны отдыха с оборудованием пешеходных коммуникаций, тротуаров и аллей в с. Ракиты», общая стоимость проектов более 5 млн. рублей.</w:t>
      </w:r>
      <w:proofErr w:type="gramEnd"/>
      <w:r w:rsidRPr="00E34CF7">
        <w:rPr>
          <w:rFonts w:ascii="Times New Roman" w:eastAsia="Times New Roman" w:hAnsi="Times New Roman" w:cs="Times New Roman"/>
          <w:sz w:val="28"/>
          <w:szCs w:val="28"/>
          <w:lang w:eastAsia="ru-RU"/>
        </w:rPr>
        <w:t xml:space="preserve"> За истекший период  2022 года завершен проект «Обустройство парковой зоны отдыха в с. </w:t>
      </w:r>
      <w:proofErr w:type="spellStart"/>
      <w:r w:rsidRPr="00E34CF7">
        <w:rPr>
          <w:rFonts w:ascii="Times New Roman" w:eastAsia="Times New Roman" w:hAnsi="Times New Roman" w:cs="Times New Roman"/>
          <w:sz w:val="28"/>
          <w:szCs w:val="28"/>
          <w:lang w:eastAsia="ru-RU"/>
        </w:rPr>
        <w:t>Бастан</w:t>
      </w:r>
      <w:proofErr w:type="spellEnd"/>
      <w:r w:rsidRPr="00E34CF7">
        <w:rPr>
          <w:rFonts w:ascii="Times New Roman" w:eastAsia="Times New Roman" w:hAnsi="Times New Roman" w:cs="Times New Roman"/>
          <w:sz w:val="28"/>
          <w:szCs w:val="28"/>
          <w:lang w:eastAsia="ru-RU"/>
        </w:rPr>
        <w:t xml:space="preserve">», стоимость проекта 1,2 млн. рублей. </w:t>
      </w:r>
    </w:p>
    <w:p w:rsidR="00E34CF7" w:rsidRPr="00E34CF7" w:rsidRDefault="00E34CF7" w:rsidP="00E34CF7">
      <w:pPr>
        <w:spacing w:after="0" w:line="240" w:lineRule="auto"/>
        <w:ind w:firstLine="708"/>
        <w:jc w:val="both"/>
        <w:rPr>
          <w:rFonts w:ascii="Times New Roman" w:eastAsia="Times New Roman" w:hAnsi="Times New Roman" w:cs="Times New Roman"/>
          <w:sz w:val="27"/>
          <w:szCs w:val="27"/>
          <w:lang w:eastAsia="ru-RU"/>
        </w:rPr>
      </w:pPr>
      <w:r w:rsidRPr="00E34CF7">
        <w:rPr>
          <w:rFonts w:ascii="Times New Roman" w:eastAsia="Times New Roman" w:hAnsi="Times New Roman" w:cs="Times New Roman"/>
          <w:sz w:val="28"/>
          <w:szCs w:val="28"/>
          <w:lang w:eastAsia="ru-RU"/>
        </w:rPr>
        <w:t xml:space="preserve">Развитие социальной сферы района - позитивная составляющая, но содержание ее требует больших затрат.  За 2021 год в консолидированном бюджете района расходы на содержание социальной сферы составили 70,5 </w:t>
      </w:r>
      <w:r w:rsidRPr="00E34CF7">
        <w:rPr>
          <w:rFonts w:ascii="Times New Roman" w:eastAsia="Times New Roman" w:hAnsi="Times New Roman" w:cs="Times New Roman"/>
          <w:sz w:val="27"/>
          <w:szCs w:val="27"/>
          <w:lang w:eastAsia="ru-RU"/>
        </w:rPr>
        <w:t xml:space="preserve">%, </w:t>
      </w:r>
      <w:r w:rsidRPr="00E34CF7">
        <w:rPr>
          <w:rFonts w:ascii="Times New Roman" w:eastAsia="Times New Roman" w:hAnsi="Times New Roman" w:cs="Times New Roman"/>
          <w:sz w:val="28"/>
          <w:szCs w:val="28"/>
          <w:lang w:eastAsia="ru-RU"/>
        </w:rPr>
        <w:t xml:space="preserve">из них </w:t>
      </w:r>
      <w:r w:rsidRPr="00E34CF7">
        <w:rPr>
          <w:rFonts w:ascii="Times New Roman" w:eastAsia="Times New Roman" w:hAnsi="Times New Roman" w:cs="Times New Roman"/>
          <w:sz w:val="27"/>
          <w:szCs w:val="27"/>
          <w:lang w:eastAsia="ru-RU"/>
        </w:rPr>
        <w:t>на образование 63,1 %.  </w:t>
      </w:r>
      <w:r w:rsidRPr="00E34CF7">
        <w:rPr>
          <w:rFonts w:ascii="Times New Roman" w:eastAsia="Times New Roman" w:hAnsi="Times New Roman" w:cs="Times New Roman"/>
          <w:sz w:val="28"/>
          <w:szCs w:val="28"/>
          <w:lang w:eastAsia="ru-RU"/>
        </w:rPr>
        <w:t xml:space="preserve">Следовательно, на исполнение других полномочий  средств недостаточно. </w:t>
      </w:r>
      <w:r w:rsidRPr="00E34CF7">
        <w:rPr>
          <w:rFonts w:ascii="Times New Roman" w:eastAsia="Times New Roman" w:hAnsi="Times New Roman" w:cs="Times New Roman"/>
          <w:sz w:val="27"/>
          <w:szCs w:val="27"/>
          <w:lang w:eastAsia="ru-RU"/>
        </w:rPr>
        <w:t>На реализацию муниципальных  программ  из районного бюджета выделено 38,4 млн. рублей.</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lastRenderedPageBreak/>
        <w:t xml:space="preserve">Стабильно развивается отрасль торговли, объем товарооборота ежегодно возрастает. В 2020 </w:t>
      </w:r>
      <w:proofErr w:type="gramStart"/>
      <w:r w:rsidRPr="00E34CF7">
        <w:rPr>
          <w:rFonts w:ascii="Times New Roman" w:eastAsia="Times New Roman" w:hAnsi="Times New Roman" w:cs="Times New Roman"/>
          <w:sz w:val="28"/>
          <w:szCs w:val="28"/>
          <w:lang w:eastAsia="ru-RU"/>
        </w:rPr>
        <w:t>году</w:t>
      </w:r>
      <w:proofErr w:type="gramEnd"/>
      <w:r w:rsidRPr="00E34CF7">
        <w:rPr>
          <w:rFonts w:ascii="Times New Roman" w:eastAsia="Times New Roman" w:hAnsi="Times New Roman" w:cs="Times New Roman"/>
          <w:sz w:val="28"/>
          <w:szCs w:val="28"/>
          <w:lang w:eastAsia="ru-RU"/>
        </w:rPr>
        <w:t xml:space="preserve"> несмотря на реализацию мер по недопущению распространения новой </w:t>
      </w:r>
      <w:proofErr w:type="spellStart"/>
      <w:r w:rsidRPr="00E34CF7">
        <w:rPr>
          <w:rFonts w:ascii="Times New Roman" w:eastAsia="Times New Roman" w:hAnsi="Times New Roman" w:cs="Times New Roman"/>
          <w:sz w:val="28"/>
          <w:szCs w:val="28"/>
          <w:lang w:eastAsia="ru-RU"/>
        </w:rPr>
        <w:t>короновирусной</w:t>
      </w:r>
      <w:proofErr w:type="spellEnd"/>
      <w:r w:rsidRPr="00E34CF7">
        <w:rPr>
          <w:rFonts w:ascii="Times New Roman" w:eastAsia="Times New Roman" w:hAnsi="Times New Roman" w:cs="Times New Roman"/>
          <w:sz w:val="28"/>
          <w:szCs w:val="28"/>
          <w:lang w:eastAsia="ru-RU"/>
        </w:rPr>
        <w:t xml:space="preserve"> инфекции </w:t>
      </w:r>
      <w:r w:rsidRPr="00E34CF7">
        <w:rPr>
          <w:rFonts w:ascii="Times New Roman" w:eastAsia="Times New Roman" w:hAnsi="Times New Roman" w:cs="Times New Roman"/>
          <w:sz w:val="28"/>
          <w:szCs w:val="28"/>
          <w:lang w:val="en-US" w:eastAsia="ru-RU"/>
        </w:rPr>
        <w:t>COVID</w:t>
      </w:r>
      <w:r w:rsidRPr="00E34CF7">
        <w:rPr>
          <w:rFonts w:ascii="Times New Roman" w:eastAsia="Times New Roman" w:hAnsi="Times New Roman" w:cs="Times New Roman"/>
          <w:sz w:val="28"/>
          <w:szCs w:val="28"/>
          <w:lang w:eastAsia="ru-RU"/>
        </w:rPr>
        <w:t xml:space="preserve">-19, закрытием границ между регионами, прекращением  или частичной приостановкой деятельности некоторых предприятий и учреждений, темп роста товарооборота к предыдущему году составил 112,4 %, в 2021 году -  125,3 %. Обеспеченность населения торговыми площадями составила 644,4  </w:t>
      </w:r>
      <w:proofErr w:type="spellStart"/>
      <w:r w:rsidRPr="00E34CF7">
        <w:rPr>
          <w:rFonts w:ascii="Times New Roman" w:eastAsia="Times New Roman" w:hAnsi="Times New Roman" w:cs="Times New Roman"/>
          <w:sz w:val="28"/>
          <w:szCs w:val="28"/>
          <w:lang w:eastAsia="ru-RU"/>
        </w:rPr>
        <w:t>кв.м</w:t>
      </w:r>
      <w:proofErr w:type="spellEnd"/>
      <w:r w:rsidRPr="00E34CF7">
        <w:rPr>
          <w:rFonts w:ascii="Times New Roman" w:eastAsia="Times New Roman" w:hAnsi="Times New Roman" w:cs="Times New Roman"/>
          <w:sz w:val="28"/>
          <w:szCs w:val="28"/>
          <w:lang w:eastAsia="ru-RU"/>
        </w:rPr>
        <w:t xml:space="preserve">. на 1000 человек населения. </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jc w:val="center"/>
        <w:rPr>
          <w:rFonts w:ascii="Times New Roman" w:eastAsia="Times New Roman" w:hAnsi="Times New Roman" w:cs="Times New Roman"/>
          <w:b/>
          <w:sz w:val="28"/>
          <w:szCs w:val="24"/>
          <w:highlight w:val="yellow"/>
          <w:u w:val="single"/>
          <w:lang w:eastAsia="ru-RU"/>
        </w:rPr>
      </w:pPr>
      <w:r w:rsidRPr="00E34CF7">
        <w:rPr>
          <w:rFonts w:ascii="Times New Roman" w:eastAsia="Times New Roman" w:hAnsi="Times New Roman" w:cs="Times New Roman"/>
          <w:b/>
          <w:sz w:val="28"/>
          <w:szCs w:val="24"/>
          <w:u w:val="single"/>
          <w:lang w:eastAsia="ru-RU"/>
        </w:rPr>
        <w:t>2. Демография</w:t>
      </w:r>
    </w:p>
    <w:p w:rsidR="00E34CF7" w:rsidRPr="00E34CF7" w:rsidRDefault="00E34CF7" w:rsidP="00E34CF7">
      <w:pPr>
        <w:spacing w:after="0" w:line="240" w:lineRule="auto"/>
        <w:jc w:val="both"/>
        <w:rPr>
          <w:rFonts w:ascii="Times New Roman" w:eastAsia="Times New Roman" w:hAnsi="Times New Roman" w:cs="Times New Roman"/>
          <w:sz w:val="28"/>
          <w:szCs w:val="24"/>
          <w:highlight w:val="yellow"/>
          <w:lang w:eastAsia="ru-RU"/>
        </w:rPr>
      </w:pP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4"/>
          <w:lang w:eastAsia="ru-RU"/>
        </w:rPr>
        <w:tab/>
      </w:r>
      <w:r w:rsidRPr="00E34CF7">
        <w:rPr>
          <w:rFonts w:ascii="Times New Roman" w:eastAsia="Times New Roman" w:hAnsi="Times New Roman" w:cs="Times New Roman"/>
          <w:sz w:val="28"/>
          <w:szCs w:val="28"/>
          <w:lang w:eastAsia="ru-RU"/>
        </w:rPr>
        <w:t xml:space="preserve">Ежегодно наблюдается значительный отток  населения из района, в среднем 50-100 человек в год, за 2021 год миграционная убыль населения района составила 123 человека. В 2022 году по оценке статистических данных полугодия,    ожидается убыль порядка 50 человек.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4"/>
          <w:lang w:eastAsia="ru-RU"/>
        </w:rPr>
      </w:pPr>
      <w:r w:rsidRPr="00E34CF7">
        <w:rPr>
          <w:rFonts w:ascii="Times New Roman" w:eastAsia="Times New Roman" w:hAnsi="Times New Roman" w:cs="Times New Roman"/>
          <w:sz w:val="28"/>
          <w:szCs w:val="24"/>
          <w:lang w:eastAsia="ru-RU"/>
        </w:rPr>
        <w:t xml:space="preserve">Ежегодные показатели уровня рождаемости и смертности не дают оснований прогнозировать рост численности населения за счет естественного прироста.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4"/>
          <w:lang w:eastAsia="ru-RU"/>
        </w:rPr>
      </w:pPr>
      <w:r w:rsidRPr="00E34CF7">
        <w:rPr>
          <w:rFonts w:ascii="Times New Roman" w:eastAsia="Times New Roman" w:hAnsi="Times New Roman" w:cs="Times New Roman"/>
          <w:sz w:val="28"/>
          <w:szCs w:val="28"/>
          <w:lang w:eastAsia="ru-RU"/>
        </w:rPr>
        <w:t xml:space="preserve"> </w:t>
      </w:r>
      <w:r w:rsidRPr="00E34CF7">
        <w:rPr>
          <w:rFonts w:ascii="Times New Roman" w:eastAsia="Times New Roman" w:hAnsi="Times New Roman" w:cs="Times New Roman"/>
          <w:sz w:val="28"/>
          <w:szCs w:val="24"/>
          <w:lang w:eastAsia="ru-RU"/>
        </w:rPr>
        <w:t xml:space="preserve">Анализ демографической ситуации показывает, что к 2025 году численность населения района снизится, и составит 18150 человек. </w:t>
      </w:r>
    </w:p>
    <w:p w:rsidR="00E34CF7" w:rsidRPr="00E34CF7" w:rsidRDefault="00E34CF7" w:rsidP="00E34CF7">
      <w:pPr>
        <w:spacing w:after="0" w:line="240" w:lineRule="auto"/>
        <w:rPr>
          <w:rFonts w:ascii="Times New Roman" w:eastAsia="Times New Roman" w:hAnsi="Times New Roman" w:cs="Times New Roman"/>
          <w:sz w:val="28"/>
          <w:szCs w:val="28"/>
          <w:lang w:eastAsia="ru-RU"/>
        </w:rPr>
      </w:pPr>
    </w:p>
    <w:p w:rsidR="00E34CF7" w:rsidRPr="00E34CF7" w:rsidRDefault="00E34CF7" w:rsidP="00E34CF7">
      <w:pPr>
        <w:spacing w:after="0" w:line="240" w:lineRule="auto"/>
        <w:jc w:val="center"/>
        <w:rPr>
          <w:rFonts w:ascii="Times New Roman" w:eastAsia="Times New Roman" w:hAnsi="Times New Roman" w:cs="Times New Roman"/>
          <w:b/>
          <w:sz w:val="28"/>
          <w:szCs w:val="24"/>
          <w:u w:val="single"/>
          <w:lang w:eastAsia="ru-RU"/>
        </w:rPr>
      </w:pPr>
      <w:r w:rsidRPr="00E34CF7">
        <w:rPr>
          <w:rFonts w:ascii="Times New Roman" w:eastAsia="Times New Roman" w:hAnsi="Times New Roman" w:cs="Times New Roman"/>
          <w:b/>
          <w:sz w:val="28"/>
          <w:szCs w:val="24"/>
          <w:u w:val="single"/>
          <w:lang w:eastAsia="ru-RU"/>
        </w:rPr>
        <w:t>3. Труд и занятость</w:t>
      </w:r>
    </w:p>
    <w:p w:rsidR="00E34CF7" w:rsidRPr="00E34CF7" w:rsidRDefault="00E34CF7" w:rsidP="00E34CF7">
      <w:pPr>
        <w:spacing w:after="0" w:line="240" w:lineRule="auto"/>
        <w:jc w:val="both"/>
        <w:rPr>
          <w:rFonts w:ascii="Times New Roman" w:eastAsia="Times New Roman" w:hAnsi="Times New Roman" w:cs="Times New Roman"/>
          <w:sz w:val="28"/>
          <w:szCs w:val="24"/>
          <w:lang w:eastAsia="ru-RU"/>
        </w:rPr>
      </w:pPr>
    </w:p>
    <w:p w:rsidR="00E34CF7" w:rsidRPr="00E34CF7" w:rsidRDefault="00E34CF7" w:rsidP="00E34CF7">
      <w:pPr>
        <w:spacing w:after="0" w:line="240" w:lineRule="auto"/>
        <w:jc w:val="both"/>
        <w:rPr>
          <w:rFonts w:ascii="Times New Roman" w:eastAsia="Times New Roman" w:hAnsi="Times New Roman" w:cs="Times New Roman"/>
          <w:sz w:val="28"/>
          <w:szCs w:val="24"/>
          <w:lang w:eastAsia="ru-RU"/>
        </w:rPr>
      </w:pPr>
      <w:r w:rsidRPr="00E34CF7">
        <w:rPr>
          <w:rFonts w:ascii="Times New Roman" w:eastAsia="Times New Roman" w:hAnsi="Times New Roman" w:cs="Times New Roman"/>
          <w:sz w:val="28"/>
          <w:szCs w:val="24"/>
          <w:lang w:eastAsia="ru-RU"/>
        </w:rPr>
        <w:tab/>
        <w:t xml:space="preserve">Численность трудоспособного населения в районе имеет тенденцию к снижению, к концу прогнозируемого периода составит 5600-5650 человек. </w:t>
      </w:r>
    </w:p>
    <w:p w:rsidR="00E34CF7" w:rsidRPr="00E34CF7" w:rsidRDefault="00E34CF7" w:rsidP="00E34CF7">
      <w:pPr>
        <w:spacing w:after="0" w:line="240" w:lineRule="auto"/>
        <w:jc w:val="both"/>
        <w:rPr>
          <w:rFonts w:ascii="Times New Roman" w:eastAsia="Times New Roman" w:hAnsi="Times New Roman" w:cs="Times New Roman"/>
          <w:sz w:val="28"/>
          <w:szCs w:val="24"/>
          <w:lang w:eastAsia="ru-RU"/>
        </w:rPr>
      </w:pPr>
      <w:r w:rsidRPr="00E34CF7">
        <w:rPr>
          <w:rFonts w:ascii="Times New Roman" w:eastAsia="Times New Roman" w:hAnsi="Times New Roman" w:cs="Times New Roman"/>
          <w:sz w:val="28"/>
          <w:szCs w:val="24"/>
          <w:lang w:eastAsia="ru-RU"/>
        </w:rPr>
        <w:tab/>
        <w:t>В 2022 году  в результате сокращения   численности работающих на предприятиях и в организациях, за счет реорганизации, изменения структуры и территориальной подчиненности государственных органов,  снижения  численности занятых предпринимательской деятельностью, оттока трудоспособного населения из района ожидается снижение численности  занятых в экономике района,</w:t>
      </w:r>
      <w:r w:rsidRPr="00E34CF7">
        <w:rPr>
          <w:rFonts w:ascii="Times New Roman" w:eastAsia="Times New Roman" w:hAnsi="Times New Roman" w:cs="Times New Roman"/>
          <w:sz w:val="28"/>
          <w:szCs w:val="24"/>
          <w:lang w:eastAsia="ru-RU"/>
        </w:rPr>
        <w:tab/>
      </w:r>
    </w:p>
    <w:p w:rsidR="00E34CF7" w:rsidRPr="00E34CF7" w:rsidRDefault="00E34CF7" w:rsidP="00E34CF7">
      <w:pPr>
        <w:spacing w:after="0" w:line="240" w:lineRule="auto"/>
        <w:ind w:firstLine="708"/>
        <w:jc w:val="both"/>
        <w:rPr>
          <w:rFonts w:ascii="Times New Roman" w:eastAsia="Times New Roman" w:hAnsi="Times New Roman" w:cs="Times New Roman"/>
          <w:sz w:val="28"/>
          <w:szCs w:val="24"/>
          <w:lang w:eastAsia="ru-RU"/>
        </w:rPr>
      </w:pPr>
      <w:r w:rsidRPr="00E34CF7">
        <w:rPr>
          <w:rFonts w:ascii="Times New Roman" w:eastAsia="Times New Roman" w:hAnsi="Times New Roman" w:cs="Times New Roman"/>
          <w:sz w:val="28"/>
          <w:szCs w:val="24"/>
          <w:lang w:eastAsia="ru-RU"/>
        </w:rPr>
        <w:t xml:space="preserve">В  2021 году и 1 полугодии  2022 года наблюдается снижение уровня безработицы.   В прогнозируемом периоде, учитывая экономические, демографические и социальные процессы, происходящие в районе, значительного изменения уровня безработицы не ожидается. Среднемесячная начисленная заработная плата за три прогнозируемых года  возрастет  на 115,7 – 122,5 %.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4. Промышленное производство</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proofErr w:type="gramStart"/>
      <w:r w:rsidRPr="00E34CF7">
        <w:rPr>
          <w:rFonts w:ascii="Times New Roman" w:eastAsia="Times New Roman" w:hAnsi="Times New Roman" w:cs="Times New Roman"/>
          <w:sz w:val="28"/>
          <w:szCs w:val="28"/>
          <w:lang w:eastAsia="ru-RU"/>
        </w:rPr>
        <w:t xml:space="preserve">В промышленном производстве сохранится положительная динамика, ожидаемый темп роста промышленного производства по полному кругу организаций на конец 2022  года составит 111,2 %. Однако по оценке  полугодия 2022 года наблюдается снижение темпа роста производства </w:t>
      </w:r>
      <w:r w:rsidRPr="00E34CF7">
        <w:rPr>
          <w:rFonts w:ascii="Times New Roman" w:eastAsia="Times New Roman" w:hAnsi="Times New Roman" w:cs="Times New Roman"/>
          <w:sz w:val="28"/>
          <w:szCs w:val="28"/>
          <w:lang w:eastAsia="ru-RU"/>
        </w:rPr>
        <w:lastRenderedPageBreak/>
        <w:t>промышленной продукции,   индекс промышленного производства  по полному кругу организаций к предыдущему году составил 91,9%. Основная доля промышленного производства приходится на крупные предприятия, в 2020 году 93 %, в 2021</w:t>
      </w:r>
      <w:proofErr w:type="gramEnd"/>
      <w:r w:rsidRPr="00E34CF7">
        <w:rPr>
          <w:rFonts w:ascii="Times New Roman" w:eastAsia="Times New Roman" w:hAnsi="Times New Roman" w:cs="Times New Roman"/>
          <w:sz w:val="28"/>
          <w:szCs w:val="28"/>
          <w:lang w:eastAsia="ru-RU"/>
        </w:rPr>
        <w:t xml:space="preserve"> году – 92,5 %. </w:t>
      </w:r>
    </w:p>
    <w:p w:rsidR="00E34CF7" w:rsidRPr="00E34CF7" w:rsidRDefault="00E34CF7" w:rsidP="00E34CF7">
      <w:pPr>
        <w:spacing w:after="0" w:line="276" w:lineRule="auto"/>
        <w:ind w:firstLine="708"/>
        <w:jc w:val="both"/>
        <w:rPr>
          <w:rFonts w:ascii="Times New Roman" w:eastAsia="Times New Roman" w:hAnsi="Times New Roman" w:cs="Times New Roman"/>
          <w:sz w:val="28"/>
          <w:szCs w:val="28"/>
          <w:lang w:eastAsia="ru-RU"/>
        </w:rPr>
      </w:pPr>
      <w:proofErr w:type="gramStart"/>
      <w:r w:rsidRPr="00E34CF7">
        <w:rPr>
          <w:rFonts w:ascii="Times New Roman" w:eastAsia="Times New Roman" w:hAnsi="Times New Roman" w:cs="Times New Roman"/>
          <w:sz w:val="28"/>
          <w:szCs w:val="28"/>
          <w:lang w:eastAsia="ru-RU"/>
        </w:rPr>
        <w:t>Рост</w:t>
      </w:r>
      <w:proofErr w:type="gramEnd"/>
      <w:r w:rsidRPr="00E34CF7">
        <w:rPr>
          <w:rFonts w:ascii="Times New Roman" w:eastAsia="Times New Roman" w:hAnsi="Times New Roman" w:cs="Times New Roman"/>
          <w:sz w:val="28"/>
          <w:szCs w:val="28"/>
          <w:lang w:eastAsia="ru-RU"/>
        </w:rPr>
        <w:t xml:space="preserve"> в сфере промышленного производства достигнут в основном за счет   наращивания объемов производства филиалом ООО «Михайловский завод химических реактивов», в 2020 году объем производства продукции к уровню прошлого года составил 120%,  в 2021 году  - 116,3 %, в том числе за счет выпуска новой продукции -  гранулированных азотных удобрений.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Малые  предприятия по производству промышленной продукции в 2020, 2021 сдали свои позиции. В результате высокой конкуренции снизилось производство по большинству видов промышленной продукции.  Производство хлеба и хлебобулочных изделий к уровню прошлого года составило 75,5%, кондитерских изделий 83 %, производство муки 57,4%, мебели–99,1%, растительных кормов (100%). Возросло в 2021 году по отношению к уровню прошлого года производство  полуфабрикатов мясных 123,5%, мясных кулинарных изделий – 104,9%,  мяса и субпродуктов–135,6%.  В 2022 году ситуация сложившаяся в промышленном производстве сохраняется. Однако снижение производства промышленной продукции малыми предприятиями в 2021 году не повлияло на положительную динамику роста производства.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По оценке статистических данных полугодия 2022 года снижения производства промышленной продукции не ожидается, но и предпосылок для значительного роста в прогнозируемом периоде нет.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  </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5. Сельское хозяйство</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Основной отраслью сельского хозяйства в районе является растениеводство,  выращивание зерновых, зернобобовых культур, подсолнечника и овощных культур. В настоящее время посевные площади составляют 82,3 тыс. гектар.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Район находится в зоне рискованного земледелия, во многом результаты работы сельскохозяйственных предприятий зависят от погодных условий и от рыночных цен на сельскохозяйственную продукцию. В 2021 году урожайность зерновых и зернобобовых составила 12,6 ц/га, против 9,9 ц/га в 2020 году, </w:t>
      </w:r>
      <w:proofErr w:type="spellStart"/>
      <w:r w:rsidRPr="00E34CF7">
        <w:rPr>
          <w:rFonts w:ascii="Times New Roman" w:eastAsia="Times New Roman" w:hAnsi="Times New Roman" w:cs="Times New Roman"/>
          <w:sz w:val="28"/>
          <w:szCs w:val="28"/>
          <w:lang w:eastAsia="ru-RU"/>
        </w:rPr>
        <w:t>маслосемян</w:t>
      </w:r>
      <w:proofErr w:type="spellEnd"/>
      <w:r w:rsidRPr="00E34CF7">
        <w:rPr>
          <w:rFonts w:ascii="Times New Roman" w:eastAsia="Times New Roman" w:hAnsi="Times New Roman" w:cs="Times New Roman"/>
          <w:sz w:val="28"/>
          <w:szCs w:val="28"/>
          <w:lang w:eastAsia="ru-RU"/>
        </w:rPr>
        <w:t xml:space="preserve"> подсолнечника  - 8,7 ц/га, против 9,2 ц/га в прошлом году.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Весной 2022 года посевные работы проводились в сложных климатических условиях, на некоторых территориях района прошел ураган и град, пострадали посевы более чем на 10000 га. В результате  2022 году ожидается снижение урожайности зерновых и зернобобовых до 7,7 ц./га, урожайность </w:t>
      </w:r>
      <w:proofErr w:type="spellStart"/>
      <w:r w:rsidRPr="00E34CF7">
        <w:rPr>
          <w:rFonts w:ascii="Times New Roman" w:eastAsia="Times New Roman" w:hAnsi="Times New Roman" w:cs="Times New Roman"/>
          <w:sz w:val="28"/>
          <w:szCs w:val="28"/>
          <w:lang w:eastAsia="ru-RU"/>
        </w:rPr>
        <w:t>маслосемян</w:t>
      </w:r>
      <w:proofErr w:type="spellEnd"/>
      <w:r w:rsidRPr="00E34CF7">
        <w:rPr>
          <w:rFonts w:ascii="Times New Roman" w:eastAsia="Times New Roman" w:hAnsi="Times New Roman" w:cs="Times New Roman"/>
          <w:sz w:val="28"/>
          <w:szCs w:val="28"/>
          <w:lang w:eastAsia="ru-RU"/>
        </w:rPr>
        <w:t xml:space="preserve"> подсолнечника ожидается на уровне прошлого года.</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С целью повышения урожайности сельскохозяйственных культур в прогнозируемом периоде планируется проведение   мероприятий по </w:t>
      </w:r>
      <w:r w:rsidRPr="00E34CF7">
        <w:rPr>
          <w:rFonts w:ascii="Times New Roman" w:eastAsia="Times New Roman" w:hAnsi="Times New Roman" w:cs="Times New Roman"/>
          <w:sz w:val="28"/>
          <w:szCs w:val="28"/>
          <w:lang w:eastAsia="ru-RU"/>
        </w:rPr>
        <w:lastRenderedPageBreak/>
        <w:t xml:space="preserve">повышению плодородия почвы, гербицидной обработки посевов и своевременно проведенных посевных и уборочных работ.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Испытывает трудности и отрасль животноводства. Численность поголовья крупного рогатого скота снизилась в 2020 году на 960 голов, в 2021 году на 138. Численность дойного стада уменьшилась в 2020 году на 400 голов, в 2021 на 104. Поголовье свиней уменьшилось на 153 головы и составило в 2021 году 1557 голов.  Снижение численности  поголовья крупного рогатого скота в 2020 – 2021 годах  повлекло снижение производства продукции животноводства почти на 5 %. На отрицательный результат в отрасли животноводства по указанным выше показателям повлияло  уменьшение поголовья скота  во всех категориях хозяйств. По данным органов государственной статистики за истекший период 2022 года продолжает наблюдаться снижение  численности поголовья крупного рогатого скота,  поголовья коров и свиней во всех категориях хозяйств. К концу 2022 года за счет получения приплода и перевода  молодняка в основное стадо планируется стабилизировать численность поголовья скота. </w:t>
      </w:r>
      <w:r w:rsidRPr="00E34CF7">
        <w:rPr>
          <w:rFonts w:ascii="Times New Roman" w:eastAsia="Times New Roman" w:hAnsi="Times New Roman" w:cs="Times New Roman"/>
          <w:sz w:val="28"/>
          <w:szCs w:val="28"/>
          <w:highlight w:val="yellow"/>
          <w:lang w:eastAsia="ru-RU"/>
        </w:rPr>
        <w:t xml:space="preserve"> </w:t>
      </w:r>
    </w:p>
    <w:p w:rsidR="00E34CF7" w:rsidRPr="00E34CF7" w:rsidRDefault="00E34CF7" w:rsidP="00E34CF7">
      <w:pPr>
        <w:spacing w:after="0" w:line="276"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Значительные средства направляются на модернизацию  отрасли сельского хозяйства.  В 2021 году инвестиции на приобретение техники и оборудования составили 545</w:t>
      </w:r>
      <w:r w:rsidRPr="00E34CF7">
        <w:rPr>
          <w:rFonts w:ascii="Times New Roman" w:eastAsia="Times New Roman" w:hAnsi="Times New Roman" w:cs="Times New Roman"/>
          <w:sz w:val="28"/>
          <w:szCs w:val="28"/>
          <w:lang w:val="x-none" w:eastAsia="x-none"/>
        </w:rPr>
        <w:t xml:space="preserve"> млн. рублей</w:t>
      </w:r>
      <w:r w:rsidRPr="00E34CF7">
        <w:rPr>
          <w:rFonts w:ascii="Times New Roman" w:eastAsia="Times New Roman" w:hAnsi="Times New Roman" w:cs="Times New Roman"/>
          <w:sz w:val="28"/>
          <w:szCs w:val="28"/>
          <w:lang w:eastAsia="ru-RU"/>
        </w:rPr>
        <w:t xml:space="preserve">, в прогнозном периоде  обновление сельскохозяйственной техники и оборудования  в хозяйствах продолжится, за полугодие 2022 года приобретено техники на 220 млн. рублей.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Проводимые мероприятия и благоприятные погодные условия позволяют прогнозировать объем валовой продукции сельского хозяйства на  конец прогнозного периода в сумме  3096,1 млн. рублей, а при более благоприятных условиях –3204,3 млн. рублей.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Принятые меры увеличат рентабельность сельскохозяйственной </w:t>
      </w:r>
      <w:proofErr w:type="gramStart"/>
      <w:r w:rsidRPr="00E34CF7">
        <w:rPr>
          <w:rFonts w:ascii="Times New Roman" w:eastAsia="Times New Roman" w:hAnsi="Times New Roman" w:cs="Times New Roman"/>
          <w:sz w:val="28"/>
          <w:szCs w:val="28"/>
          <w:lang w:eastAsia="ru-RU"/>
        </w:rPr>
        <w:t>отрасли</w:t>
      </w:r>
      <w:proofErr w:type="gramEnd"/>
      <w:r w:rsidRPr="00E34CF7">
        <w:rPr>
          <w:rFonts w:ascii="Times New Roman" w:eastAsia="Times New Roman" w:hAnsi="Times New Roman" w:cs="Times New Roman"/>
          <w:sz w:val="28"/>
          <w:szCs w:val="28"/>
          <w:lang w:eastAsia="ru-RU"/>
        </w:rPr>
        <w:t xml:space="preserve"> и  размер балансовой прибыли. </w:t>
      </w:r>
    </w:p>
    <w:p w:rsidR="00E34CF7" w:rsidRPr="00E34CF7" w:rsidRDefault="00E34CF7" w:rsidP="00E34CF7">
      <w:pPr>
        <w:spacing w:after="0" w:line="240" w:lineRule="auto"/>
        <w:ind w:firstLine="708"/>
        <w:jc w:val="both"/>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sz w:val="28"/>
          <w:szCs w:val="28"/>
          <w:lang w:eastAsia="ru-RU"/>
        </w:rPr>
        <w:t xml:space="preserve">Достижение прогнозных показателей  в значительной степени зависит от государственной поддержки </w:t>
      </w:r>
      <w:proofErr w:type="spellStart"/>
      <w:r w:rsidRPr="00E34CF7">
        <w:rPr>
          <w:rFonts w:ascii="Times New Roman" w:eastAsia="Times New Roman" w:hAnsi="Times New Roman" w:cs="Times New Roman"/>
          <w:sz w:val="28"/>
          <w:szCs w:val="28"/>
          <w:lang w:eastAsia="ru-RU"/>
        </w:rPr>
        <w:t>сельхозтоваропроизводителей</w:t>
      </w:r>
      <w:proofErr w:type="spellEnd"/>
      <w:r w:rsidRPr="00E34CF7">
        <w:rPr>
          <w:rFonts w:ascii="Times New Roman" w:eastAsia="Times New Roman" w:hAnsi="Times New Roman" w:cs="Times New Roman"/>
          <w:sz w:val="28"/>
          <w:szCs w:val="28"/>
          <w:lang w:eastAsia="ru-RU"/>
        </w:rPr>
        <w:t xml:space="preserve">, которую в настоящее время    получают   сельскохозяйственные   предприятия   района.   За 2021 год получена поддержка на сумму </w:t>
      </w:r>
      <w:r w:rsidRPr="00E34CF7">
        <w:rPr>
          <w:rFonts w:ascii="Times New Roman" w:eastAsia="Calibri" w:hAnsi="Times New Roman" w:cs="Times New Roman"/>
          <w:color w:val="000000"/>
          <w:sz w:val="24"/>
          <w:szCs w:val="24"/>
          <w:shd w:val="clear" w:color="auto" w:fill="F9FFF9"/>
          <w:lang w:eastAsia="ru-RU"/>
        </w:rPr>
        <w:t xml:space="preserve">23,9 </w:t>
      </w:r>
      <w:r w:rsidRPr="00E34CF7">
        <w:rPr>
          <w:rFonts w:ascii="Times New Roman" w:eastAsia="Times New Roman" w:hAnsi="Times New Roman" w:cs="Times New Roman"/>
          <w:sz w:val="28"/>
          <w:szCs w:val="28"/>
          <w:lang w:eastAsia="ru-RU"/>
        </w:rPr>
        <w:t>млн. рублей.</w:t>
      </w:r>
      <w:r w:rsidRPr="00E34CF7">
        <w:rPr>
          <w:rFonts w:ascii="Times New Roman" w:eastAsia="Times New Roman" w:hAnsi="Times New Roman" w:cs="Times New Roman"/>
          <w:b/>
          <w:sz w:val="28"/>
          <w:szCs w:val="28"/>
          <w:lang w:eastAsia="ru-RU"/>
        </w:rPr>
        <w:t xml:space="preserve"> </w:t>
      </w:r>
      <w:r w:rsidRPr="00E34CF7">
        <w:rPr>
          <w:rFonts w:ascii="Times New Roman" w:eastAsia="Times New Roman" w:hAnsi="Times New Roman" w:cs="Times New Roman"/>
          <w:sz w:val="28"/>
          <w:szCs w:val="28"/>
          <w:lang w:eastAsia="ru-RU"/>
        </w:rPr>
        <w:t xml:space="preserve">Государственную поддержку  планируется использовать и в прогнозируемом периоде. </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6. Инвестиции и строительство</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Инвестиционная  активность организаций района в различных отраслях экономики района сохраняется на  достаточно высоком уровне. Около 30% от общего объема инвестиций за счет всех источников финансирования это инвестиции крупных и средних предприятий.  В 2021 году крупными и средними предприятиями инвестировано   более 218 млн. рублей.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прогнозируемом периоде 2023 – 2025 года ожидается снижение темпов роста инвестиций по сравнению с уровнем 2021 года, т.к. объем инвестиций в 2021 году превысил среднегодовые показатели объема инвестиций по крупным средним предприятиям более чем в  2 раза. Однако снижения общего объема  инвестиций по полному кругу предприятий за счет всех источников финансирования не ожидается. Положительная динамика </w:t>
      </w:r>
      <w:r w:rsidRPr="00E34CF7">
        <w:rPr>
          <w:rFonts w:ascii="Times New Roman" w:eastAsia="Times New Roman" w:hAnsi="Times New Roman" w:cs="Times New Roman"/>
          <w:sz w:val="28"/>
          <w:szCs w:val="28"/>
          <w:lang w:eastAsia="ru-RU"/>
        </w:rPr>
        <w:lastRenderedPageBreak/>
        <w:t xml:space="preserve">инвестиций по крупным и средним предприятиям в прогнозируемом периоде сохраниться. Продолжиться  модернизация сельского хозяйства, ввод объектов индивидуального жилищного строительства, дорожного строительства, реализация проектов по благоустройству территории сел района и  отрасли ЖКХ.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Основной объем инвестиций, это собственные и привлеченные из бюджетов разного уровня средства. </w:t>
      </w:r>
    </w:p>
    <w:p w:rsidR="00E34CF7" w:rsidRPr="00E34CF7" w:rsidRDefault="00E34CF7" w:rsidP="00E34CF7">
      <w:pPr>
        <w:spacing w:after="0" w:line="240" w:lineRule="auto"/>
        <w:ind w:firstLine="708"/>
        <w:jc w:val="both"/>
        <w:rPr>
          <w:rFonts w:ascii="Times New Roman" w:eastAsia="Times New Roman" w:hAnsi="Times New Roman" w:cs="Times New Roman"/>
          <w:color w:val="000000"/>
          <w:sz w:val="28"/>
          <w:szCs w:val="28"/>
          <w:lang w:eastAsia="ru-RU"/>
        </w:rPr>
      </w:pPr>
      <w:r w:rsidRPr="00E34CF7">
        <w:rPr>
          <w:rFonts w:ascii="Times New Roman" w:eastAsia="Times New Roman" w:hAnsi="Times New Roman" w:cs="Times New Roman"/>
          <w:color w:val="000000"/>
          <w:sz w:val="28"/>
          <w:szCs w:val="28"/>
          <w:lang w:eastAsia="ru-RU"/>
        </w:rPr>
        <w:t xml:space="preserve">Объем работ по виду деятельности «Строительство» по кругу крупных и средних предприятий в 2022 году составит 111,3 млн. рублей, это в основном дорожное строительство. В  прогнозируемом периоде 2023-2025 годов производство строительных работ силами крупных и средних предприятий планируется в объеме 72-73 млн. рублей ежегодно.   </w:t>
      </w:r>
    </w:p>
    <w:p w:rsidR="00E34CF7" w:rsidRPr="00E34CF7" w:rsidRDefault="00E34CF7" w:rsidP="00E34CF7">
      <w:pPr>
        <w:spacing w:after="0" w:line="240" w:lineRule="auto"/>
        <w:jc w:val="both"/>
        <w:rPr>
          <w:rFonts w:ascii="Times New Roman" w:eastAsia="Times New Roman" w:hAnsi="Times New Roman" w:cs="Times New Roman"/>
          <w:color w:val="000000"/>
          <w:sz w:val="28"/>
          <w:szCs w:val="28"/>
          <w:lang w:eastAsia="ru-RU"/>
        </w:rPr>
      </w:pPr>
      <w:r w:rsidRPr="00E34CF7">
        <w:rPr>
          <w:rFonts w:ascii="Times New Roman" w:eastAsia="Times New Roman" w:hAnsi="Times New Roman" w:cs="Times New Roman"/>
          <w:color w:val="000000"/>
          <w:sz w:val="28"/>
          <w:szCs w:val="28"/>
          <w:lang w:eastAsia="ru-RU"/>
        </w:rPr>
        <w:tab/>
        <w:t>В сфере жилищного строительства в 2022 году, по оценке  статистических данных за полугодие, ожидается уменьшение  ввода в действие площади жилых домов. В прогнозном периоде значительного увеличения объемов ввода в действие жилья не планируется.</w:t>
      </w:r>
    </w:p>
    <w:p w:rsidR="00E34CF7" w:rsidRPr="00E34CF7" w:rsidRDefault="00E34CF7" w:rsidP="00E34CF7">
      <w:pPr>
        <w:spacing w:after="0" w:line="240" w:lineRule="auto"/>
        <w:jc w:val="both"/>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color w:val="000000"/>
          <w:sz w:val="28"/>
          <w:szCs w:val="28"/>
          <w:lang w:eastAsia="ru-RU"/>
        </w:rPr>
        <w:tab/>
        <w:t xml:space="preserve"> </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7. Потребительский рынок</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ind w:right="-186"/>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       По оценке статистических данных за 2020, 2021 годы потребительская активность населения растет.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прогнозируемом периоде  ожидается рост  оборота розничной торговли. К концу 2025 года оборот розничной торговли  может составить 1280-1304 млн. рублей. Рост товарооборота ожидается за счет повышения покупательской способности населения.   Перспективы дальнейшего роста и развития торговой сферы связаны с реконструкцией имеющихся объектов розничной торговли,  внедрения прогрессивных форм обслуживания, обеспечивающих качественный уровень предоставляемых услуг торговли для жителей района.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По оценке статистических данных за полугодие 2022 года наблюдается рост объема платных услуг населению, в том числе бытовых услуг. В прогнозируемый период объем оказываемых платных услуг населению района  сохранит положительную динамику  и к концу 2025 года составит 244-251 млн. рублей. Планируется рост услуг телевизионной связи, продолжится подключение  выхода в сеть Интернет в селах района, увеличение и расширение сферы бытовых  услуг. Ежегодно предполагается увеличение платных  услуг</w:t>
      </w:r>
      <w:r w:rsidRPr="00E34CF7">
        <w:rPr>
          <w:rFonts w:ascii="Times New Roman" w:eastAsia="Times New Roman" w:hAnsi="Times New Roman" w:cs="Times New Roman"/>
          <w:b/>
          <w:sz w:val="28"/>
          <w:szCs w:val="28"/>
          <w:lang w:eastAsia="ru-RU"/>
        </w:rPr>
        <w:t xml:space="preserve"> </w:t>
      </w:r>
      <w:r w:rsidRPr="00E34CF7">
        <w:rPr>
          <w:rFonts w:ascii="Times New Roman" w:eastAsia="Times New Roman" w:hAnsi="Times New Roman" w:cs="Times New Roman"/>
          <w:sz w:val="28"/>
          <w:szCs w:val="28"/>
          <w:lang w:eastAsia="ru-RU"/>
        </w:rPr>
        <w:t>населению в сфере</w:t>
      </w:r>
      <w:r w:rsidRPr="00E34CF7">
        <w:rPr>
          <w:rFonts w:ascii="Times New Roman" w:eastAsia="Times New Roman" w:hAnsi="Times New Roman" w:cs="Times New Roman"/>
          <w:b/>
          <w:sz w:val="28"/>
          <w:szCs w:val="28"/>
          <w:lang w:eastAsia="ru-RU"/>
        </w:rPr>
        <w:t xml:space="preserve"> </w:t>
      </w:r>
      <w:r w:rsidRPr="00E34CF7">
        <w:rPr>
          <w:rFonts w:ascii="Times New Roman" w:eastAsia="Times New Roman" w:hAnsi="Times New Roman" w:cs="Times New Roman"/>
          <w:sz w:val="28"/>
          <w:szCs w:val="28"/>
          <w:lang w:eastAsia="ru-RU"/>
        </w:rPr>
        <w:t>образования, здравоохранения, культуры, за счет расширения номенклатуры и качества предоставляемых услуг. За счет повышения тарифов на коммунальные услуги так же прогнозируется рост.</w:t>
      </w:r>
    </w:p>
    <w:p w:rsidR="00E34CF7" w:rsidRPr="00E34CF7" w:rsidRDefault="00E34CF7" w:rsidP="00E34CF7">
      <w:pPr>
        <w:spacing w:after="0" w:line="240" w:lineRule="auto"/>
        <w:jc w:val="both"/>
        <w:rPr>
          <w:rFonts w:ascii="Times New Roman" w:eastAsia="Times New Roman" w:hAnsi="Times New Roman" w:cs="Times New Roman"/>
          <w:sz w:val="28"/>
          <w:szCs w:val="24"/>
          <w:lang w:eastAsia="ru-RU"/>
        </w:rPr>
      </w:pP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8. Туризм</w:t>
      </w:r>
    </w:p>
    <w:p w:rsidR="00E34CF7" w:rsidRPr="00E34CF7" w:rsidRDefault="00E34CF7" w:rsidP="00E34CF7">
      <w:pPr>
        <w:spacing w:after="0" w:line="240" w:lineRule="auto"/>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На территории района деятельность в сфере туризма в настоящее время только  формируется. Продолжается реализация инвестиционного проекта в сфере оказания услуг по организации туристического отдыха в </w:t>
      </w:r>
      <w:proofErr w:type="spellStart"/>
      <w:r w:rsidRPr="00E34CF7">
        <w:rPr>
          <w:rFonts w:ascii="Times New Roman" w:eastAsia="Times New Roman" w:hAnsi="Times New Roman" w:cs="Times New Roman"/>
          <w:sz w:val="28"/>
          <w:szCs w:val="28"/>
          <w:lang w:eastAsia="ru-RU"/>
        </w:rPr>
        <w:t>р.п</w:t>
      </w:r>
      <w:proofErr w:type="spellEnd"/>
      <w:r w:rsidRPr="00E34CF7">
        <w:rPr>
          <w:rFonts w:ascii="Times New Roman" w:eastAsia="Times New Roman" w:hAnsi="Times New Roman" w:cs="Times New Roman"/>
          <w:sz w:val="28"/>
          <w:szCs w:val="28"/>
          <w:lang w:eastAsia="ru-RU"/>
        </w:rPr>
        <w:t xml:space="preserve">. Малиновое Озеро. Начато обустройство зоны отдыха </w:t>
      </w:r>
      <w:proofErr w:type="gramStart"/>
      <w:r w:rsidRPr="00E34CF7">
        <w:rPr>
          <w:rFonts w:ascii="Times New Roman" w:eastAsia="Times New Roman" w:hAnsi="Times New Roman" w:cs="Times New Roman"/>
          <w:sz w:val="28"/>
          <w:szCs w:val="28"/>
          <w:lang w:eastAsia="ru-RU"/>
        </w:rPr>
        <w:t>в</w:t>
      </w:r>
      <w:proofErr w:type="gramEnd"/>
      <w:r w:rsidRPr="00E34CF7">
        <w:rPr>
          <w:rFonts w:ascii="Times New Roman" w:eastAsia="Times New Roman" w:hAnsi="Times New Roman" w:cs="Times New Roman"/>
          <w:sz w:val="28"/>
          <w:szCs w:val="28"/>
          <w:lang w:eastAsia="ru-RU"/>
        </w:rPr>
        <w:t xml:space="preserve"> с. Николаевка. В </w:t>
      </w:r>
      <w:r w:rsidRPr="00E34CF7">
        <w:rPr>
          <w:rFonts w:ascii="Times New Roman" w:eastAsia="Times New Roman" w:hAnsi="Times New Roman" w:cs="Times New Roman"/>
          <w:sz w:val="28"/>
          <w:szCs w:val="28"/>
          <w:lang w:eastAsia="ru-RU"/>
        </w:rPr>
        <w:lastRenderedPageBreak/>
        <w:t xml:space="preserve">результате реализации указанных проектов планируется увеличение количества мест единовременного размещения и  дальнейшее развитие  отрасли туризма.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районе оказывает услуги детский оздоровительный лагерь им. </w:t>
      </w:r>
      <w:proofErr w:type="spellStart"/>
      <w:r w:rsidRPr="00E34CF7">
        <w:rPr>
          <w:rFonts w:ascii="Times New Roman" w:eastAsia="Times New Roman" w:hAnsi="Times New Roman" w:cs="Times New Roman"/>
          <w:sz w:val="28"/>
          <w:szCs w:val="28"/>
          <w:lang w:eastAsia="ru-RU"/>
        </w:rPr>
        <w:t>Ю.Гагарина</w:t>
      </w:r>
      <w:proofErr w:type="spellEnd"/>
      <w:r w:rsidRPr="00E34CF7">
        <w:rPr>
          <w:rFonts w:ascii="Times New Roman" w:eastAsia="Times New Roman" w:hAnsi="Times New Roman" w:cs="Times New Roman"/>
          <w:sz w:val="28"/>
          <w:szCs w:val="28"/>
          <w:lang w:eastAsia="ru-RU"/>
        </w:rPr>
        <w:t xml:space="preserve">, в  котором  ежегодно могут отдыхать более 300 человек. </w:t>
      </w:r>
    </w:p>
    <w:p w:rsidR="00E34CF7" w:rsidRPr="00E34CF7" w:rsidRDefault="00E34CF7" w:rsidP="00E34CF7">
      <w:pPr>
        <w:spacing w:after="0" w:line="240" w:lineRule="auto"/>
        <w:ind w:firstLine="708"/>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ind w:firstLine="708"/>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9. Бюджет</w:t>
      </w:r>
    </w:p>
    <w:p w:rsidR="00E34CF7" w:rsidRPr="00E34CF7" w:rsidRDefault="00E34CF7" w:rsidP="00E34CF7">
      <w:pPr>
        <w:spacing w:after="0" w:line="240" w:lineRule="auto"/>
        <w:ind w:firstLine="708"/>
        <w:jc w:val="center"/>
        <w:rPr>
          <w:rFonts w:ascii="Times New Roman" w:eastAsia="Times New Roman" w:hAnsi="Times New Roman" w:cs="Times New Roman"/>
          <w:b/>
          <w:sz w:val="28"/>
          <w:szCs w:val="28"/>
          <w:u w:val="single"/>
          <w:lang w:eastAsia="ru-RU"/>
        </w:rPr>
      </w:pP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структуре доходов консолидированного бюджета района 70,8 % составляют безвозмездные поступления,  29,2 % составляют собственные налоговые и неналоговые доходы. В структуре собственных доходов бюджета наибольшую долю составляет налог на доходы физических лиц -  49,8%. Доля доходов от использования имущества, находящегося в муниципальной собственности, в собственных доходах бюджета – 8,7 %.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В части расходов, бюджет района имеет явную социальную направленность.</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Расходы консолидированного бюджета района в социальную сферу составляют 70,5%, из них 63,1% на образование.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Прогнозируется ежегодное увеличение расходов бюджета.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На охрану окружающей среды расходы бюджета в  прогнозируемом периоде не предусмотрены.</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В прогнозируемом периоде существенных изменений в структуре доходов и расходов бюджета не планируется. </w:t>
      </w:r>
    </w:p>
    <w:p w:rsidR="00E34CF7" w:rsidRPr="00E34CF7" w:rsidRDefault="00E34CF7" w:rsidP="00E34CF7">
      <w:pPr>
        <w:spacing w:after="0" w:line="240" w:lineRule="auto"/>
        <w:ind w:firstLine="708"/>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ind w:firstLine="708"/>
        <w:jc w:val="center"/>
        <w:rPr>
          <w:rFonts w:ascii="Times New Roman" w:eastAsia="Times New Roman" w:hAnsi="Times New Roman" w:cs="Times New Roman"/>
          <w:b/>
          <w:sz w:val="28"/>
          <w:szCs w:val="28"/>
          <w:u w:val="single"/>
          <w:lang w:eastAsia="ru-RU"/>
        </w:rPr>
      </w:pPr>
      <w:r w:rsidRPr="00E34CF7">
        <w:rPr>
          <w:rFonts w:ascii="Times New Roman" w:eastAsia="Times New Roman" w:hAnsi="Times New Roman" w:cs="Times New Roman"/>
          <w:b/>
          <w:sz w:val="28"/>
          <w:szCs w:val="28"/>
          <w:u w:val="single"/>
          <w:lang w:eastAsia="ru-RU"/>
        </w:rPr>
        <w:t>10. Перечень основных проблемных вопросов развития района, сдерживающих его социально – экономическое развитие.</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1. Проблемы, препятствующие росту уровня и качества жизни населения, созданию благоприятного социального климата для деятельности и здорового образа жизни</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низкий уровень доходов населения;</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высокий удельный вес населения, нуждающегося в социальной защите;</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-сокращение численности населения вследствие высокого уровня преждевременной смертности, сокращения средней продолжительности жизни, естественной убыли населения, продолжающийся процесс старения населения.</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Pr="00E34CF7" w:rsidRDefault="00E34CF7" w:rsidP="00E34CF7">
      <w:pPr>
        <w:spacing w:after="0" w:line="240" w:lineRule="auto"/>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2. Проблемы, препятствующие росту качества среды жизнедеятельности:</w:t>
      </w:r>
    </w:p>
    <w:p w:rsidR="00E34CF7" w:rsidRPr="00E34CF7" w:rsidRDefault="00E34CF7" w:rsidP="00E34CF7">
      <w:pPr>
        <w:spacing w:after="0" w:line="240" w:lineRule="auto"/>
        <w:jc w:val="both"/>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а) социально-экономического характера:</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рост цен на энергоносители и связанный с ним рост тарифов на коммунальные услуги;</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высокая стоимость жилищно-коммунальных услуг, не обеспеченная ростом доходов основной части населения, рост дебиторской задолженности по ЖКХ;</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высокий уровень износа основных фондов объектов ЖКХ;</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недостаточный объем инвестиций в основной капитал в отрасль ЖКХ.</w:t>
      </w:r>
    </w:p>
    <w:p w:rsidR="00E34CF7" w:rsidRPr="00E34CF7" w:rsidRDefault="00E34CF7" w:rsidP="00E34CF7">
      <w:pPr>
        <w:spacing w:after="0" w:line="240" w:lineRule="auto"/>
        <w:jc w:val="center"/>
        <w:rPr>
          <w:rFonts w:ascii="Times New Roman" w:eastAsia="Times New Roman" w:hAnsi="Times New Roman" w:cs="Times New Roman"/>
          <w:b/>
          <w:sz w:val="28"/>
          <w:szCs w:val="28"/>
          <w:lang w:eastAsia="ru-RU"/>
        </w:rPr>
      </w:pPr>
    </w:p>
    <w:p w:rsidR="00E34CF7" w:rsidRPr="00E34CF7" w:rsidRDefault="00E34CF7" w:rsidP="00E34CF7">
      <w:pPr>
        <w:spacing w:after="0" w:line="240" w:lineRule="auto"/>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3. Проблемы, сдерживающие рост экономического потенциала:</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высокая доля убыточных предприятий;</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 </w:t>
      </w:r>
      <w:proofErr w:type="spellStart"/>
      <w:r w:rsidRPr="00E34CF7">
        <w:rPr>
          <w:rFonts w:ascii="Times New Roman" w:eastAsia="Times New Roman" w:hAnsi="Times New Roman" w:cs="Times New Roman"/>
          <w:sz w:val="28"/>
          <w:szCs w:val="28"/>
          <w:lang w:eastAsia="ru-RU"/>
        </w:rPr>
        <w:t>диспаритет</w:t>
      </w:r>
      <w:proofErr w:type="spellEnd"/>
      <w:r w:rsidRPr="00E34CF7">
        <w:rPr>
          <w:rFonts w:ascii="Times New Roman" w:eastAsia="Times New Roman" w:hAnsi="Times New Roman" w:cs="Times New Roman"/>
          <w:sz w:val="28"/>
          <w:szCs w:val="28"/>
          <w:lang w:eastAsia="ru-RU"/>
        </w:rPr>
        <w:t xml:space="preserve"> цен на сельскохозяйственную продукцию и сельскохозяйственную технику, запасные части к ней, ГСМ, средства защиты растений, минеральные удобрения;</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 низкое качество жизни населения, заработная плата в большинстве отраслей ниже </w:t>
      </w:r>
      <w:proofErr w:type="spellStart"/>
      <w:r w:rsidRPr="00E34CF7">
        <w:rPr>
          <w:rFonts w:ascii="Times New Roman" w:eastAsia="Times New Roman" w:hAnsi="Times New Roman" w:cs="Times New Roman"/>
          <w:sz w:val="28"/>
          <w:szCs w:val="28"/>
          <w:lang w:eastAsia="ru-RU"/>
        </w:rPr>
        <w:t>среднерайонной</w:t>
      </w:r>
      <w:proofErr w:type="spellEnd"/>
      <w:r w:rsidRPr="00E34CF7">
        <w:rPr>
          <w:rFonts w:ascii="Times New Roman" w:eastAsia="Times New Roman" w:hAnsi="Times New Roman" w:cs="Times New Roman"/>
          <w:sz w:val="28"/>
          <w:szCs w:val="28"/>
          <w:lang w:eastAsia="ru-RU"/>
        </w:rPr>
        <w:t>;</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высокая кредиторская задолженность бюджета района.</w:t>
      </w:r>
    </w:p>
    <w:p w:rsidR="00E34CF7" w:rsidRPr="00E34CF7" w:rsidRDefault="00E34CF7" w:rsidP="00E34CF7">
      <w:pPr>
        <w:spacing w:after="0" w:line="240" w:lineRule="auto"/>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4. Проблемы планировочной организации территории</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наличие некоторого контраста в развитии сельских поселений района – наблюдается наиболее плотное освоение центральной части;</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-отсутствие генеральных планов развития поселений;</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рассредоточенное расположение населенных пунктов.</w:t>
      </w:r>
    </w:p>
    <w:p w:rsidR="00E34CF7" w:rsidRPr="00E34CF7" w:rsidRDefault="00E34CF7" w:rsidP="00E34CF7">
      <w:pPr>
        <w:spacing w:after="0" w:line="240" w:lineRule="auto"/>
        <w:jc w:val="both"/>
        <w:rPr>
          <w:rFonts w:ascii="Times New Roman" w:eastAsia="Times New Roman" w:hAnsi="Times New Roman" w:cs="Times New Roman"/>
          <w:b/>
          <w:sz w:val="28"/>
          <w:szCs w:val="28"/>
          <w:lang w:eastAsia="ru-RU"/>
        </w:rPr>
      </w:pPr>
    </w:p>
    <w:p w:rsidR="00E34CF7" w:rsidRPr="00E34CF7" w:rsidRDefault="00E34CF7" w:rsidP="00E34CF7">
      <w:pPr>
        <w:spacing w:after="0" w:line="240" w:lineRule="auto"/>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5. Административно-правовые проблемы:</w:t>
      </w:r>
    </w:p>
    <w:p w:rsidR="00E34CF7" w:rsidRPr="00E34CF7" w:rsidRDefault="00E34CF7" w:rsidP="00E34CF7">
      <w:pPr>
        <w:spacing w:after="0" w:line="240" w:lineRule="auto"/>
        <w:jc w:val="both"/>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а) Незавершенность системы земельных отношений:</w:t>
      </w:r>
    </w:p>
    <w:p w:rsidR="00E34CF7" w:rsidRP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не все земли района поставлены на кадастровый учет, не закончены межевые работы, отсутствие генеральных планов застройки в селах района.</w:t>
      </w:r>
    </w:p>
    <w:p w:rsidR="00E34CF7" w:rsidRPr="00E34CF7" w:rsidRDefault="00E34CF7" w:rsidP="00E34CF7">
      <w:pPr>
        <w:spacing w:after="0" w:line="240" w:lineRule="auto"/>
        <w:jc w:val="both"/>
        <w:rPr>
          <w:rFonts w:ascii="Times New Roman" w:eastAsia="Times New Roman" w:hAnsi="Times New Roman" w:cs="Times New Roman"/>
          <w:b/>
          <w:sz w:val="28"/>
          <w:szCs w:val="28"/>
          <w:lang w:eastAsia="ru-RU"/>
        </w:rPr>
      </w:pPr>
      <w:r w:rsidRPr="00E34CF7">
        <w:rPr>
          <w:rFonts w:ascii="Times New Roman" w:eastAsia="Times New Roman" w:hAnsi="Times New Roman" w:cs="Times New Roman"/>
          <w:b/>
          <w:sz w:val="28"/>
          <w:szCs w:val="28"/>
          <w:lang w:eastAsia="ru-RU"/>
        </w:rPr>
        <w:t>б) Обеспеченность управления:</w:t>
      </w:r>
    </w:p>
    <w:p w:rsidR="00E34CF7" w:rsidRDefault="00E34CF7" w:rsidP="00E34CF7">
      <w:pPr>
        <w:spacing w:after="0" w:line="240" w:lineRule="auto"/>
        <w:jc w:val="both"/>
        <w:rPr>
          <w:rFonts w:ascii="Times New Roman" w:eastAsia="Times New Roman" w:hAnsi="Times New Roman" w:cs="Times New Roman"/>
          <w:sz w:val="28"/>
          <w:szCs w:val="28"/>
          <w:lang w:eastAsia="ru-RU"/>
        </w:rPr>
      </w:pPr>
      <w:r w:rsidRPr="00E34CF7">
        <w:rPr>
          <w:rFonts w:ascii="Times New Roman" w:eastAsia="Times New Roman" w:hAnsi="Times New Roman" w:cs="Times New Roman"/>
          <w:sz w:val="28"/>
          <w:szCs w:val="28"/>
          <w:lang w:eastAsia="ru-RU"/>
        </w:rPr>
        <w:t xml:space="preserve">- недостаточная оснащенность местных органов самоуправления современной оргтехникой, программным обеспечением, системами связи, квалифицированными кадрами. </w:t>
      </w: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E34CF7" w:rsidRDefault="00E34CF7" w:rsidP="00E34CF7">
      <w:pPr>
        <w:spacing w:after="0" w:line="240" w:lineRule="auto"/>
        <w:jc w:val="both"/>
        <w:rPr>
          <w:rFonts w:ascii="Times New Roman" w:eastAsia="Times New Roman" w:hAnsi="Times New Roman" w:cs="Times New Roman"/>
          <w:sz w:val="28"/>
          <w:szCs w:val="28"/>
          <w:lang w:eastAsia="ru-RU"/>
        </w:rPr>
      </w:pPr>
    </w:p>
    <w:p w:rsidR="00D27DA2" w:rsidRPr="00FE1095" w:rsidRDefault="00D27DA2" w:rsidP="00E34CF7">
      <w:pPr>
        <w:widowControl w:val="0"/>
        <w:autoSpaceDE w:val="0"/>
        <w:autoSpaceDN w:val="0"/>
        <w:adjustRightInd w:val="0"/>
        <w:spacing w:after="0" w:line="240" w:lineRule="auto"/>
        <w:rPr>
          <w:rFonts w:ascii="Times New Roman" w:hAnsi="Times New Roman" w:cs="Times New Roman"/>
          <w:sz w:val="28"/>
          <w:szCs w:val="28"/>
        </w:rPr>
      </w:pPr>
    </w:p>
    <w:sectPr w:rsidR="00D27DA2" w:rsidRPr="00FE1095" w:rsidSect="00C939F3">
      <w:pgSz w:w="11051"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92C"/>
    <w:multiLevelType w:val="singleLevel"/>
    <w:tmpl w:val="B322AC40"/>
    <w:lvl w:ilvl="0">
      <w:start w:val="1"/>
      <w:numFmt w:val="decimal"/>
      <w:lvlText w:val="%1."/>
      <w:legacy w:legacy="1" w:legacySpace="0" w:legacyIndent="273"/>
      <w:lvlJc w:val="left"/>
      <w:rPr>
        <w:rFonts w:ascii="Times New Roman" w:hAnsi="Times New Roman" w:cs="Times New Roman" w:hint="default"/>
      </w:rPr>
    </w:lvl>
  </w:abstractNum>
  <w:abstractNum w:abstractNumId="1">
    <w:nsid w:val="121C7CC2"/>
    <w:multiLevelType w:val="hybridMultilevel"/>
    <w:tmpl w:val="4164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3794"/>
    <w:rsid w:val="00011C12"/>
    <w:rsid w:val="000A7390"/>
    <w:rsid w:val="001133E4"/>
    <w:rsid w:val="0013451E"/>
    <w:rsid w:val="00136E42"/>
    <w:rsid w:val="00155FBD"/>
    <w:rsid w:val="00157172"/>
    <w:rsid w:val="0016181D"/>
    <w:rsid w:val="00191687"/>
    <w:rsid w:val="001933AE"/>
    <w:rsid w:val="00195BAB"/>
    <w:rsid w:val="0020053D"/>
    <w:rsid w:val="00237AA1"/>
    <w:rsid w:val="00275AF5"/>
    <w:rsid w:val="002C4E2C"/>
    <w:rsid w:val="002E1E0A"/>
    <w:rsid w:val="002E5DE5"/>
    <w:rsid w:val="00311803"/>
    <w:rsid w:val="00336671"/>
    <w:rsid w:val="003414A3"/>
    <w:rsid w:val="00347D67"/>
    <w:rsid w:val="0038080D"/>
    <w:rsid w:val="003E2E94"/>
    <w:rsid w:val="00413E9C"/>
    <w:rsid w:val="00415263"/>
    <w:rsid w:val="0043539C"/>
    <w:rsid w:val="00435A98"/>
    <w:rsid w:val="00453794"/>
    <w:rsid w:val="00460210"/>
    <w:rsid w:val="004A20EB"/>
    <w:rsid w:val="004B094C"/>
    <w:rsid w:val="004D228E"/>
    <w:rsid w:val="004D71AD"/>
    <w:rsid w:val="00575933"/>
    <w:rsid w:val="00581F89"/>
    <w:rsid w:val="005A6667"/>
    <w:rsid w:val="005B09BA"/>
    <w:rsid w:val="005D6620"/>
    <w:rsid w:val="005E20AA"/>
    <w:rsid w:val="005F1AA7"/>
    <w:rsid w:val="00620D6F"/>
    <w:rsid w:val="006A0D45"/>
    <w:rsid w:val="006B5B89"/>
    <w:rsid w:val="006B6CDB"/>
    <w:rsid w:val="006C575F"/>
    <w:rsid w:val="006D1A07"/>
    <w:rsid w:val="006E120B"/>
    <w:rsid w:val="006F410B"/>
    <w:rsid w:val="00713E1A"/>
    <w:rsid w:val="00731F67"/>
    <w:rsid w:val="00741B66"/>
    <w:rsid w:val="00775CA2"/>
    <w:rsid w:val="007C6E29"/>
    <w:rsid w:val="00804FDA"/>
    <w:rsid w:val="00810947"/>
    <w:rsid w:val="008728B1"/>
    <w:rsid w:val="008819ED"/>
    <w:rsid w:val="008A4CA7"/>
    <w:rsid w:val="008B2A56"/>
    <w:rsid w:val="008C7FAB"/>
    <w:rsid w:val="008E73C2"/>
    <w:rsid w:val="00904541"/>
    <w:rsid w:val="009226D4"/>
    <w:rsid w:val="00925EE8"/>
    <w:rsid w:val="00944A8B"/>
    <w:rsid w:val="00977C39"/>
    <w:rsid w:val="00985124"/>
    <w:rsid w:val="009C5686"/>
    <w:rsid w:val="009D5DC7"/>
    <w:rsid w:val="009E6C40"/>
    <w:rsid w:val="00A309C1"/>
    <w:rsid w:val="00A57FD4"/>
    <w:rsid w:val="00A91B0D"/>
    <w:rsid w:val="00A91F93"/>
    <w:rsid w:val="00B1603C"/>
    <w:rsid w:val="00B27166"/>
    <w:rsid w:val="00B35710"/>
    <w:rsid w:val="00B46D0C"/>
    <w:rsid w:val="00B758E2"/>
    <w:rsid w:val="00BF0303"/>
    <w:rsid w:val="00C51E85"/>
    <w:rsid w:val="00C53318"/>
    <w:rsid w:val="00C57285"/>
    <w:rsid w:val="00C91545"/>
    <w:rsid w:val="00C939F3"/>
    <w:rsid w:val="00C97C91"/>
    <w:rsid w:val="00CA263A"/>
    <w:rsid w:val="00CB1C5C"/>
    <w:rsid w:val="00CE50B0"/>
    <w:rsid w:val="00D0021B"/>
    <w:rsid w:val="00D068E8"/>
    <w:rsid w:val="00D13D86"/>
    <w:rsid w:val="00D27DA2"/>
    <w:rsid w:val="00D32F23"/>
    <w:rsid w:val="00D9403F"/>
    <w:rsid w:val="00DC63E9"/>
    <w:rsid w:val="00DD57F5"/>
    <w:rsid w:val="00DE64B1"/>
    <w:rsid w:val="00DF1951"/>
    <w:rsid w:val="00E25B5A"/>
    <w:rsid w:val="00E34CF7"/>
    <w:rsid w:val="00EA6E43"/>
    <w:rsid w:val="00ED3D1C"/>
    <w:rsid w:val="00F04E82"/>
    <w:rsid w:val="00F102C5"/>
    <w:rsid w:val="00F52C62"/>
    <w:rsid w:val="00F625D3"/>
    <w:rsid w:val="00FB71A3"/>
    <w:rsid w:val="00FE1095"/>
    <w:rsid w:val="00FE35CE"/>
    <w:rsid w:val="00FF1B23"/>
    <w:rsid w:val="00FF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37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453794"/>
    <w:rPr>
      <w:color w:val="0000FF"/>
      <w:u w:val="single"/>
    </w:rPr>
  </w:style>
  <w:style w:type="paragraph" w:customStyle="1" w:styleId="Style1">
    <w:name w:val="Style1"/>
    <w:basedOn w:val="a"/>
    <w:rsid w:val="00453794"/>
    <w:pPr>
      <w:widowControl w:val="0"/>
      <w:autoSpaceDE w:val="0"/>
      <w:autoSpaceDN w:val="0"/>
      <w:adjustRightInd w:val="0"/>
      <w:spacing w:after="0" w:line="322" w:lineRule="exact"/>
      <w:ind w:hanging="1901"/>
    </w:pPr>
    <w:rPr>
      <w:rFonts w:ascii="Times New Roman" w:eastAsia="Times New Roman" w:hAnsi="Times New Roman" w:cs="Times New Roman"/>
      <w:sz w:val="24"/>
      <w:szCs w:val="24"/>
      <w:lang w:eastAsia="ru-RU"/>
    </w:rPr>
  </w:style>
  <w:style w:type="paragraph" w:customStyle="1" w:styleId="Style2">
    <w:name w:val="Style2"/>
    <w:basedOn w:val="a"/>
    <w:rsid w:val="00453794"/>
    <w:pPr>
      <w:widowControl w:val="0"/>
      <w:autoSpaceDE w:val="0"/>
      <w:autoSpaceDN w:val="0"/>
      <w:adjustRightInd w:val="0"/>
      <w:spacing w:after="0" w:line="926" w:lineRule="exact"/>
    </w:pPr>
    <w:rPr>
      <w:rFonts w:ascii="Times New Roman" w:eastAsia="Times New Roman" w:hAnsi="Times New Roman" w:cs="Times New Roman"/>
      <w:sz w:val="24"/>
      <w:szCs w:val="24"/>
      <w:lang w:eastAsia="ru-RU"/>
    </w:rPr>
  </w:style>
  <w:style w:type="paragraph" w:customStyle="1" w:styleId="Style3">
    <w:name w:val="Style3"/>
    <w:basedOn w:val="a"/>
    <w:rsid w:val="00453794"/>
    <w:pPr>
      <w:widowControl w:val="0"/>
      <w:autoSpaceDE w:val="0"/>
      <w:autoSpaceDN w:val="0"/>
      <w:adjustRightInd w:val="0"/>
      <w:spacing w:after="0" w:line="315"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53794"/>
    <w:rPr>
      <w:rFonts w:ascii="Times New Roman" w:hAnsi="Times New Roman" w:cs="Times New Roman"/>
      <w:spacing w:val="20"/>
      <w:sz w:val="24"/>
      <w:szCs w:val="24"/>
    </w:rPr>
  </w:style>
  <w:style w:type="character" w:customStyle="1" w:styleId="FontStyle12">
    <w:name w:val="Font Style12"/>
    <w:basedOn w:val="a0"/>
    <w:rsid w:val="00453794"/>
    <w:rPr>
      <w:rFonts w:ascii="Times New Roman" w:hAnsi="Times New Roman" w:cs="Times New Roman"/>
      <w:spacing w:val="20"/>
      <w:sz w:val="22"/>
      <w:szCs w:val="22"/>
    </w:rPr>
  </w:style>
  <w:style w:type="paragraph" w:styleId="a4">
    <w:name w:val="No Spacing"/>
    <w:uiPriority w:val="1"/>
    <w:qFormat/>
    <w:rsid w:val="00453794"/>
    <w:pPr>
      <w:spacing w:after="0" w:line="240" w:lineRule="auto"/>
    </w:pPr>
  </w:style>
  <w:style w:type="paragraph" w:customStyle="1" w:styleId="Style5">
    <w:name w:val="Style5"/>
    <w:basedOn w:val="a"/>
    <w:rsid w:val="00011C1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ConsPlusNormal">
    <w:name w:val="ConsPlusNormal"/>
    <w:rsid w:val="002E5D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Normal (Web)"/>
    <w:basedOn w:val="a"/>
    <w:uiPriority w:val="99"/>
    <w:unhideWhenUsed/>
    <w:rsid w:val="005D6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838">
      <w:bodyDiv w:val="1"/>
      <w:marLeft w:val="0"/>
      <w:marRight w:val="0"/>
      <w:marTop w:val="0"/>
      <w:marBottom w:val="0"/>
      <w:divBdr>
        <w:top w:val="none" w:sz="0" w:space="0" w:color="auto"/>
        <w:left w:val="none" w:sz="0" w:space="0" w:color="auto"/>
        <w:bottom w:val="none" w:sz="0" w:space="0" w:color="auto"/>
        <w:right w:val="none" w:sz="0" w:space="0" w:color="auto"/>
      </w:divBdr>
    </w:div>
    <w:div w:id="165828994">
      <w:bodyDiv w:val="1"/>
      <w:marLeft w:val="0"/>
      <w:marRight w:val="0"/>
      <w:marTop w:val="0"/>
      <w:marBottom w:val="0"/>
      <w:divBdr>
        <w:top w:val="none" w:sz="0" w:space="0" w:color="auto"/>
        <w:left w:val="none" w:sz="0" w:space="0" w:color="auto"/>
        <w:bottom w:val="none" w:sz="0" w:space="0" w:color="auto"/>
        <w:right w:val="none" w:sz="0" w:space="0" w:color="auto"/>
      </w:divBdr>
    </w:div>
    <w:div w:id="365789041">
      <w:bodyDiv w:val="1"/>
      <w:marLeft w:val="0"/>
      <w:marRight w:val="0"/>
      <w:marTop w:val="0"/>
      <w:marBottom w:val="0"/>
      <w:divBdr>
        <w:top w:val="none" w:sz="0" w:space="0" w:color="auto"/>
        <w:left w:val="none" w:sz="0" w:space="0" w:color="auto"/>
        <w:bottom w:val="none" w:sz="0" w:space="0" w:color="auto"/>
        <w:right w:val="none" w:sz="0" w:space="0" w:color="auto"/>
      </w:divBdr>
    </w:div>
    <w:div w:id="890267516">
      <w:bodyDiv w:val="1"/>
      <w:marLeft w:val="0"/>
      <w:marRight w:val="0"/>
      <w:marTop w:val="0"/>
      <w:marBottom w:val="0"/>
      <w:divBdr>
        <w:top w:val="none" w:sz="0" w:space="0" w:color="auto"/>
        <w:left w:val="none" w:sz="0" w:space="0" w:color="auto"/>
        <w:bottom w:val="none" w:sz="0" w:space="0" w:color="auto"/>
        <w:right w:val="none" w:sz="0" w:space="0" w:color="auto"/>
      </w:divBdr>
    </w:div>
    <w:div w:id="1183128748">
      <w:bodyDiv w:val="1"/>
      <w:marLeft w:val="0"/>
      <w:marRight w:val="0"/>
      <w:marTop w:val="0"/>
      <w:marBottom w:val="0"/>
      <w:divBdr>
        <w:top w:val="none" w:sz="0" w:space="0" w:color="auto"/>
        <w:left w:val="none" w:sz="0" w:space="0" w:color="auto"/>
        <w:bottom w:val="none" w:sz="0" w:space="0" w:color="auto"/>
        <w:right w:val="none" w:sz="0" w:space="0" w:color="auto"/>
      </w:divBdr>
    </w:div>
    <w:div w:id="1302543108">
      <w:bodyDiv w:val="1"/>
      <w:marLeft w:val="0"/>
      <w:marRight w:val="0"/>
      <w:marTop w:val="0"/>
      <w:marBottom w:val="0"/>
      <w:divBdr>
        <w:top w:val="none" w:sz="0" w:space="0" w:color="auto"/>
        <w:left w:val="none" w:sz="0" w:space="0" w:color="auto"/>
        <w:bottom w:val="none" w:sz="0" w:space="0" w:color="auto"/>
        <w:right w:val="none" w:sz="0" w:space="0" w:color="auto"/>
      </w:divBdr>
    </w:div>
    <w:div w:id="1304698745">
      <w:bodyDiv w:val="1"/>
      <w:marLeft w:val="0"/>
      <w:marRight w:val="0"/>
      <w:marTop w:val="0"/>
      <w:marBottom w:val="0"/>
      <w:divBdr>
        <w:top w:val="none" w:sz="0" w:space="0" w:color="auto"/>
        <w:left w:val="none" w:sz="0" w:space="0" w:color="auto"/>
        <w:bottom w:val="none" w:sz="0" w:space="0" w:color="auto"/>
        <w:right w:val="none" w:sz="0" w:space="0" w:color="auto"/>
      </w:divBdr>
    </w:div>
    <w:div w:id="1366103071">
      <w:bodyDiv w:val="1"/>
      <w:marLeft w:val="0"/>
      <w:marRight w:val="0"/>
      <w:marTop w:val="0"/>
      <w:marBottom w:val="0"/>
      <w:divBdr>
        <w:top w:val="none" w:sz="0" w:space="0" w:color="auto"/>
        <w:left w:val="none" w:sz="0" w:space="0" w:color="auto"/>
        <w:bottom w:val="none" w:sz="0" w:space="0" w:color="auto"/>
        <w:right w:val="none" w:sz="0" w:space="0" w:color="auto"/>
      </w:divBdr>
    </w:div>
    <w:div w:id="1580335354">
      <w:bodyDiv w:val="1"/>
      <w:marLeft w:val="0"/>
      <w:marRight w:val="0"/>
      <w:marTop w:val="0"/>
      <w:marBottom w:val="0"/>
      <w:divBdr>
        <w:top w:val="none" w:sz="0" w:space="0" w:color="auto"/>
        <w:left w:val="none" w:sz="0" w:space="0" w:color="auto"/>
        <w:bottom w:val="none" w:sz="0" w:space="0" w:color="auto"/>
        <w:right w:val="none" w:sz="0" w:space="0" w:color="auto"/>
      </w:divBdr>
    </w:div>
    <w:div w:id="1672759136">
      <w:bodyDiv w:val="1"/>
      <w:marLeft w:val="0"/>
      <w:marRight w:val="0"/>
      <w:marTop w:val="0"/>
      <w:marBottom w:val="0"/>
      <w:divBdr>
        <w:top w:val="none" w:sz="0" w:space="0" w:color="auto"/>
        <w:left w:val="none" w:sz="0" w:space="0" w:color="auto"/>
        <w:bottom w:val="none" w:sz="0" w:space="0" w:color="auto"/>
        <w:right w:val="none" w:sz="0" w:space="0" w:color="auto"/>
      </w:divBdr>
    </w:div>
    <w:div w:id="1755783375">
      <w:bodyDiv w:val="1"/>
      <w:marLeft w:val="0"/>
      <w:marRight w:val="0"/>
      <w:marTop w:val="0"/>
      <w:marBottom w:val="0"/>
      <w:divBdr>
        <w:top w:val="none" w:sz="0" w:space="0" w:color="auto"/>
        <w:left w:val="none" w:sz="0" w:space="0" w:color="auto"/>
        <w:bottom w:val="none" w:sz="0" w:space="0" w:color="auto"/>
        <w:right w:val="none" w:sz="0" w:space="0" w:color="auto"/>
      </w:divBdr>
    </w:div>
    <w:div w:id="19690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09C6-7FF8-416D-AC66-461EB2E8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Tolochkina</dc:creator>
  <cp:keywords/>
  <dc:description/>
  <cp:lastModifiedBy>Диденко</cp:lastModifiedBy>
  <cp:revision>30</cp:revision>
  <cp:lastPrinted>2015-12-17T01:57:00Z</cp:lastPrinted>
  <dcterms:created xsi:type="dcterms:W3CDTF">2017-10-12T05:23:00Z</dcterms:created>
  <dcterms:modified xsi:type="dcterms:W3CDTF">2022-11-24T09:09:00Z</dcterms:modified>
</cp:coreProperties>
</file>